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F8" w:rsidRPr="00280CF8" w:rsidRDefault="00280CF8" w:rsidP="00280CF8">
      <w:pPr>
        <w:autoSpaceDE w:val="0"/>
        <w:autoSpaceDN w:val="0"/>
        <w:adjustRightInd w:val="0"/>
        <w:rPr>
          <w:b/>
          <w:szCs w:val="22"/>
        </w:rPr>
      </w:pPr>
      <w:bookmarkStart w:id="0" w:name="_GoBack"/>
      <w:bookmarkEnd w:id="0"/>
      <w:r w:rsidRPr="00280CF8">
        <w:rPr>
          <w:b/>
          <w:szCs w:val="22"/>
        </w:rPr>
        <w:t>Identificació de l’expedient</w:t>
      </w:r>
    </w:p>
    <w:p w:rsidR="00280CF8" w:rsidRPr="00280CF8" w:rsidRDefault="00280CF8" w:rsidP="00280CF8">
      <w:pPr>
        <w:autoSpaceDE w:val="0"/>
        <w:autoSpaceDN w:val="0"/>
        <w:adjustRightInd w:val="0"/>
        <w:rPr>
          <w:b/>
          <w:szCs w:val="22"/>
        </w:rPr>
      </w:pPr>
    </w:p>
    <w:p w:rsidR="00280CF8" w:rsidRPr="00280CF8" w:rsidRDefault="00280CF8" w:rsidP="00280CF8">
      <w:pPr>
        <w:autoSpaceDE w:val="0"/>
        <w:autoSpaceDN w:val="0"/>
        <w:adjustRightInd w:val="0"/>
        <w:rPr>
          <w:szCs w:val="22"/>
        </w:rPr>
      </w:pPr>
      <w:r w:rsidRPr="00280CF8">
        <w:rPr>
          <w:szCs w:val="22"/>
        </w:rPr>
        <w:t>Proposta d’acord relativa a l’aprovació del calendari laboral per l’any 201</w:t>
      </w:r>
      <w:r w:rsidR="003D1E6C">
        <w:rPr>
          <w:szCs w:val="22"/>
        </w:rPr>
        <w:t>9</w:t>
      </w:r>
      <w:r w:rsidRPr="00280CF8">
        <w:rPr>
          <w:szCs w:val="22"/>
        </w:rPr>
        <w:t>.</w:t>
      </w:r>
    </w:p>
    <w:p w:rsidR="00280CF8" w:rsidRPr="00280CF8" w:rsidRDefault="00280CF8" w:rsidP="00280CF8">
      <w:pPr>
        <w:autoSpaceDE w:val="0"/>
        <w:autoSpaceDN w:val="0"/>
        <w:adjustRightInd w:val="0"/>
        <w:rPr>
          <w:b/>
          <w:szCs w:val="22"/>
        </w:rPr>
      </w:pPr>
    </w:p>
    <w:p w:rsidR="00280CF8" w:rsidRPr="00280CF8" w:rsidRDefault="00280CF8" w:rsidP="00280CF8">
      <w:pPr>
        <w:autoSpaceDE w:val="0"/>
        <w:autoSpaceDN w:val="0"/>
        <w:adjustRightInd w:val="0"/>
        <w:rPr>
          <w:b/>
          <w:szCs w:val="22"/>
        </w:rPr>
      </w:pPr>
      <w:r w:rsidRPr="00280CF8">
        <w:rPr>
          <w:b/>
          <w:szCs w:val="22"/>
        </w:rPr>
        <w:t>Fets</w:t>
      </w:r>
    </w:p>
    <w:p w:rsidR="00280CF8" w:rsidRPr="00280CF8" w:rsidRDefault="00280CF8" w:rsidP="00280CF8">
      <w:pPr>
        <w:autoSpaceDE w:val="0"/>
        <w:autoSpaceDN w:val="0"/>
        <w:adjustRightInd w:val="0"/>
        <w:rPr>
          <w:b/>
          <w:szCs w:val="22"/>
        </w:rPr>
      </w:pPr>
    </w:p>
    <w:p w:rsidR="00280CF8" w:rsidRPr="00280CF8" w:rsidRDefault="00280CF8" w:rsidP="00280CF8">
      <w:pPr>
        <w:pStyle w:val="Prrafodelista"/>
        <w:numPr>
          <w:ilvl w:val="0"/>
          <w:numId w:val="19"/>
        </w:numPr>
        <w:spacing w:line="240" w:lineRule="atLeast"/>
        <w:ind w:left="0" w:firstLine="0"/>
        <w:jc w:val="both"/>
        <w:rPr>
          <w:rFonts w:ascii="Century Gothic" w:eastAsia="Times New Roman" w:hAnsi="Century Gothic"/>
          <w:lang w:eastAsia="es-ES"/>
        </w:rPr>
      </w:pPr>
      <w:r w:rsidRPr="00280CF8">
        <w:rPr>
          <w:rFonts w:ascii="Century Gothic" w:eastAsia="Times New Roman" w:hAnsi="Century Gothic"/>
          <w:lang w:eastAsia="es-ES"/>
        </w:rPr>
        <w:t xml:space="preserve">En data </w:t>
      </w:r>
      <w:r w:rsidR="003D1E6C">
        <w:rPr>
          <w:rFonts w:ascii="Century Gothic" w:eastAsia="Times New Roman" w:hAnsi="Century Gothic"/>
          <w:lang w:eastAsia="es-ES"/>
        </w:rPr>
        <w:t>6 de març de 2019</w:t>
      </w:r>
      <w:r w:rsidRPr="00280CF8">
        <w:rPr>
          <w:rFonts w:ascii="Century Gothic" w:eastAsia="Times New Roman" w:hAnsi="Century Gothic"/>
          <w:lang w:eastAsia="es-ES"/>
        </w:rPr>
        <w:t xml:space="preserve"> es va realitzar reunió de la comissió negociadora i paritària per tal de negociar l’aprovació del calendari laboral per l’any 201</w:t>
      </w:r>
      <w:r w:rsidR="003D1E6C">
        <w:rPr>
          <w:rFonts w:ascii="Century Gothic" w:eastAsia="Times New Roman" w:hAnsi="Century Gothic"/>
          <w:lang w:eastAsia="es-ES"/>
        </w:rPr>
        <w:t>9</w:t>
      </w:r>
      <w:r w:rsidRPr="00280CF8">
        <w:rPr>
          <w:rFonts w:ascii="Century Gothic" w:eastAsia="Times New Roman" w:hAnsi="Century Gothic"/>
          <w:lang w:eastAsia="es-ES"/>
        </w:rPr>
        <w:t>.</w:t>
      </w:r>
    </w:p>
    <w:p w:rsidR="00280CF8" w:rsidRPr="00280CF8" w:rsidRDefault="00280CF8" w:rsidP="00280CF8">
      <w:pPr>
        <w:spacing w:line="240" w:lineRule="atLeast"/>
        <w:rPr>
          <w:rFonts w:cs="Times New Roman"/>
          <w:b/>
          <w:szCs w:val="22"/>
        </w:rPr>
      </w:pPr>
    </w:p>
    <w:p w:rsidR="00280CF8" w:rsidRPr="00280CF8" w:rsidRDefault="00280CF8" w:rsidP="00280CF8">
      <w:pPr>
        <w:spacing w:line="240" w:lineRule="atLeast"/>
        <w:rPr>
          <w:rFonts w:cs="Times New Roman"/>
          <w:b/>
          <w:szCs w:val="22"/>
        </w:rPr>
      </w:pPr>
      <w:r w:rsidRPr="00280CF8">
        <w:rPr>
          <w:rFonts w:cs="Times New Roman"/>
          <w:b/>
          <w:szCs w:val="22"/>
        </w:rPr>
        <w:t>Fonaments i consideracions jurídiques</w:t>
      </w:r>
    </w:p>
    <w:p w:rsidR="00280CF8" w:rsidRPr="00280CF8" w:rsidRDefault="00280CF8" w:rsidP="00280CF8">
      <w:pPr>
        <w:spacing w:line="240" w:lineRule="atLeast"/>
        <w:rPr>
          <w:rFonts w:cs="Times New Roman"/>
          <w:szCs w:val="22"/>
        </w:rPr>
      </w:pPr>
    </w:p>
    <w:p w:rsidR="00280CF8" w:rsidRPr="00280CF8" w:rsidRDefault="00280CF8" w:rsidP="00280CF8">
      <w:pPr>
        <w:pStyle w:val="Prrafodelista"/>
        <w:numPr>
          <w:ilvl w:val="0"/>
          <w:numId w:val="20"/>
        </w:numPr>
        <w:spacing w:line="240" w:lineRule="atLeast"/>
        <w:ind w:left="0" w:firstLine="0"/>
        <w:jc w:val="both"/>
        <w:rPr>
          <w:rFonts w:ascii="Century Gothic" w:hAnsi="Century Gothic"/>
        </w:rPr>
      </w:pPr>
      <w:r w:rsidRPr="00280CF8">
        <w:rPr>
          <w:rFonts w:ascii="Century Gothic" w:hAnsi="Century Gothic"/>
        </w:rPr>
        <w:t xml:space="preserve">El còmput anual de la jornada és </w:t>
      </w:r>
      <w:proofErr w:type="spellStart"/>
      <w:r w:rsidRPr="00280CF8">
        <w:rPr>
          <w:rFonts w:ascii="Century Gothic" w:hAnsi="Century Gothic"/>
        </w:rPr>
        <w:t>l’establert</w:t>
      </w:r>
      <w:proofErr w:type="spellEnd"/>
      <w:r w:rsidRPr="00280CF8">
        <w:rPr>
          <w:rFonts w:ascii="Century Gothic" w:hAnsi="Century Gothic"/>
        </w:rPr>
        <w:t xml:space="preserve"> a la Resolució de 28 de desembre de 2012, és a dir, </w:t>
      </w:r>
      <w:r w:rsidRPr="00280CF8">
        <w:rPr>
          <w:rFonts w:ascii="Century Gothic" w:hAnsi="Century Gothic"/>
          <w:u w:val="single"/>
        </w:rPr>
        <w:t>1642 hores anuals</w:t>
      </w:r>
      <w:r w:rsidRPr="00280CF8">
        <w:rPr>
          <w:rFonts w:ascii="Century Gothic" w:hAnsi="Century Gothic"/>
        </w:rPr>
        <w:t xml:space="preserve">, essent aquesta la jornada d’obligat compliment per els empleats públics de les Corporacions locals en aplicació de </w:t>
      </w:r>
      <w:proofErr w:type="spellStart"/>
      <w:r w:rsidRPr="00280CF8">
        <w:rPr>
          <w:rFonts w:ascii="Century Gothic" w:hAnsi="Century Gothic"/>
        </w:rPr>
        <w:t>l’establert</w:t>
      </w:r>
      <w:proofErr w:type="spellEnd"/>
      <w:r w:rsidRPr="00280CF8">
        <w:rPr>
          <w:rFonts w:ascii="Century Gothic" w:hAnsi="Century Gothic"/>
        </w:rPr>
        <w:t xml:space="preserve"> a l’article 94 de la LBRL que disposa que, els funcionaris de l’Administració local se’ls aplicarà la mateixa jornada en còmput anual que la que es fixi pels funcionaris de l’Administració de l’Estat i les mateixes normes sobre equivalència i reducció de jornada. </w:t>
      </w:r>
    </w:p>
    <w:p w:rsidR="00280CF8" w:rsidRPr="00280CF8" w:rsidRDefault="00280CF8" w:rsidP="00280CF8">
      <w:pPr>
        <w:pStyle w:val="Prrafodelista"/>
        <w:spacing w:line="240" w:lineRule="atLeast"/>
        <w:ind w:left="0"/>
        <w:jc w:val="both"/>
        <w:rPr>
          <w:rFonts w:ascii="Century Gothic" w:hAnsi="Century Gothic"/>
        </w:rPr>
      </w:pPr>
    </w:p>
    <w:p w:rsidR="00280CF8" w:rsidRPr="00280CF8" w:rsidRDefault="00280CF8" w:rsidP="00280CF8">
      <w:pPr>
        <w:pStyle w:val="Prrafodelista"/>
        <w:numPr>
          <w:ilvl w:val="0"/>
          <w:numId w:val="20"/>
        </w:numPr>
        <w:spacing w:line="240" w:lineRule="atLeast"/>
        <w:ind w:left="0" w:firstLine="0"/>
        <w:jc w:val="both"/>
        <w:rPr>
          <w:rFonts w:ascii="Century Gothic" w:hAnsi="Century Gothic"/>
        </w:rPr>
      </w:pPr>
      <w:r w:rsidRPr="00280CF8">
        <w:rPr>
          <w:rFonts w:ascii="Century Gothic" w:hAnsi="Century Gothic"/>
        </w:rPr>
        <w:t>L’ordre TSF/</w:t>
      </w:r>
      <w:r w:rsidR="00934F0C">
        <w:rPr>
          <w:rFonts w:ascii="Century Gothic" w:hAnsi="Century Gothic"/>
        </w:rPr>
        <w:t>134</w:t>
      </w:r>
      <w:r w:rsidRPr="00280CF8">
        <w:rPr>
          <w:rFonts w:ascii="Century Gothic" w:hAnsi="Century Gothic"/>
        </w:rPr>
        <w:t>/201</w:t>
      </w:r>
      <w:r w:rsidR="00934F0C">
        <w:rPr>
          <w:rFonts w:ascii="Century Gothic" w:hAnsi="Century Gothic"/>
        </w:rPr>
        <w:t>8</w:t>
      </w:r>
      <w:r w:rsidRPr="00280CF8">
        <w:rPr>
          <w:rFonts w:ascii="Century Gothic" w:hAnsi="Century Gothic"/>
        </w:rPr>
        <w:t xml:space="preserve"> que regula el calendari oficial de festes laboral per a l’any 201</w:t>
      </w:r>
      <w:r w:rsidR="00934F0C">
        <w:rPr>
          <w:rFonts w:ascii="Century Gothic" w:hAnsi="Century Gothic"/>
        </w:rPr>
        <w:t>9</w:t>
      </w:r>
      <w:r w:rsidRPr="00280CF8">
        <w:rPr>
          <w:rFonts w:ascii="Century Gothic" w:hAnsi="Century Gothic"/>
        </w:rPr>
        <w:t xml:space="preserve"> a Catalunya, estableix que l’any 201</w:t>
      </w:r>
      <w:r w:rsidR="00934F0C">
        <w:rPr>
          <w:rFonts w:ascii="Century Gothic" w:hAnsi="Century Gothic"/>
        </w:rPr>
        <w:t>9</w:t>
      </w:r>
      <w:r w:rsidRPr="00280CF8">
        <w:rPr>
          <w:rFonts w:ascii="Century Gothic" w:hAnsi="Century Gothic"/>
        </w:rPr>
        <w:t xml:space="preserve"> inclourà </w:t>
      </w:r>
      <w:r w:rsidRPr="00280CF8">
        <w:rPr>
          <w:rFonts w:ascii="Century Gothic" w:hAnsi="Century Gothic"/>
          <w:u w:val="single"/>
        </w:rPr>
        <w:t>1</w:t>
      </w:r>
      <w:r w:rsidR="00934F0C">
        <w:rPr>
          <w:rFonts w:ascii="Century Gothic" w:hAnsi="Century Gothic"/>
          <w:u w:val="single"/>
        </w:rPr>
        <w:t>2</w:t>
      </w:r>
      <w:r w:rsidRPr="00280CF8">
        <w:rPr>
          <w:rFonts w:ascii="Century Gothic" w:hAnsi="Century Gothic"/>
          <w:u w:val="single"/>
        </w:rPr>
        <w:t xml:space="preserve"> festes d’àmbit català</w:t>
      </w:r>
      <w:r w:rsidRPr="00280CF8">
        <w:rPr>
          <w:rFonts w:ascii="Century Gothic" w:hAnsi="Century Gothic"/>
        </w:rPr>
        <w:t xml:space="preserve">, a les quals els ajuntaments podran afegir-hi </w:t>
      </w:r>
      <w:r w:rsidRPr="00280CF8">
        <w:rPr>
          <w:rFonts w:ascii="Century Gothic" w:hAnsi="Century Gothic"/>
          <w:u w:val="single"/>
        </w:rPr>
        <w:t>dues festes locals</w:t>
      </w:r>
      <w:r w:rsidRPr="00280CF8">
        <w:rPr>
          <w:rFonts w:ascii="Century Gothic" w:hAnsi="Century Gothic"/>
        </w:rPr>
        <w:t>.</w:t>
      </w:r>
    </w:p>
    <w:p w:rsidR="00280CF8" w:rsidRPr="00280CF8" w:rsidRDefault="00280CF8" w:rsidP="00280CF8">
      <w:pPr>
        <w:pStyle w:val="Prrafodelista"/>
        <w:spacing w:line="240" w:lineRule="atLeast"/>
        <w:ind w:left="0"/>
        <w:rPr>
          <w:rFonts w:ascii="Century Gothic" w:hAnsi="Century Gothic"/>
        </w:rPr>
      </w:pPr>
    </w:p>
    <w:p w:rsidR="00280CF8" w:rsidRPr="00280CF8" w:rsidRDefault="00280CF8" w:rsidP="00280CF8">
      <w:pPr>
        <w:spacing w:line="240" w:lineRule="atLeast"/>
        <w:rPr>
          <w:szCs w:val="22"/>
        </w:rPr>
      </w:pPr>
      <w:r w:rsidRPr="00280CF8">
        <w:rPr>
          <w:szCs w:val="22"/>
        </w:rPr>
        <w:t>Aquestes festes laborals a Catalunya durant l’any 201</w:t>
      </w:r>
      <w:r w:rsidR="00934F0C">
        <w:rPr>
          <w:szCs w:val="22"/>
        </w:rPr>
        <w:t>9</w:t>
      </w:r>
      <w:r w:rsidRPr="00280CF8">
        <w:rPr>
          <w:szCs w:val="22"/>
        </w:rPr>
        <w:t xml:space="preserve"> són les següents:</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 de gener (Cap d’any)</w:t>
      </w:r>
    </w:p>
    <w:p w:rsidR="00280CF8" w:rsidRPr="00280CF8" w:rsidRDefault="00934F0C" w:rsidP="00280CF8">
      <w:pPr>
        <w:pStyle w:val="Prrafodelista"/>
        <w:numPr>
          <w:ilvl w:val="0"/>
          <w:numId w:val="21"/>
        </w:numPr>
        <w:spacing w:line="240" w:lineRule="atLeast"/>
        <w:ind w:left="0" w:firstLine="0"/>
        <w:rPr>
          <w:rFonts w:ascii="Century Gothic" w:hAnsi="Century Gothic"/>
        </w:rPr>
      </w:pPr>
      <w:r>
        <w:rPr>
          <w:rFonts w:ascii="Century Gothic" w:hAnsi="Century Gothic"/>
        </w:rPr>
        <w:t>19 d’abril</w:t>
      </w:r>
      <w:r w:rsidR="00280CF8" w:rsidRPr="00280CF8">
        <w:rPr>
          <w:rFonts w:ascii="Century Gothic" w:hAnsi="Century Gothic"/>
        </w:rPr>
        <w:t xml:space="preserve"> (Divendres Sant).</w:t>
      </w:r>
    </w:p>
    <w:p w:rsidR="00280CF8" w:rsidRPr="00280CF8" w:rsidRDefault="00934F0C" w:rsidP="00280CF8">
      <w:pPr>
        <w:pStyle w:val="Prrafodelista"/>
        <w:numPr>
          <w:ilvl w:val="0"/>
          <w:numId w:val="21"/>
        </w:numPr>
        <w:spacing w:line="240" w:lineRule="atLeast"/>
        <w:ind w:left="0" w:firstLine="0"/>
        <w:rPr>
          <w:rFonts w:ascii="Century Gothic" w:hAnsi="Century Gothic"/>
        </w:rPr>
      </w:pPr>
      <w:r>
        <w:rPr>
          <w:rFonts w:ascii="Century Gothic" w:hAnsi="Century Gothic"/>
        </w:rPr>
        <w:t>22</w:t>
      </w:r>
      <w:r w:rsidR="00280CF8" w:rsidRPr="00280CF8">
        <w:rPr>
          <w:rFonts w:ascii="Century Gothic" w:hAnsi="Century Gothic"/>
        </w:rPr>
        <w:t xml:space="preserve"> d'abril (Dilluns de Pasqua Florida).</w:t>
      </w:r>
    </w:p>
    <w:p w:rsid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 de maig (Festa del Treball).</w:t>
      </w:r>
    </w:p>
    <w:p w:rsidR="00934F0C" w:rsidRPr="00280CF8" w:rsidRDefault="00934F0C" w:rsidP="00280CF8">
      <w:pPr>
        <w:pStyle w:val="Prrafodelista"/>
        <w:numPr>
          <w:ilvl w:val="0"/>
          <w:numId w:val="21"/>
        </w:numPr>
        <w:spacing w:line="240" w:lineRule="atLeast"/>
        <w:ind w:left="0" w:firstLine="0"/>
        <w:rPr>
          <w:rFonts w:ascii="Century Gothic" w:hAnsi="Century Gothic"/>
        </w:rPr>
      </w:pPr>
      <w:r>
        <w:rPr>
          <w:rFonts w:ascii="Century Gothic" w:hAnsi="Century Gothic"/>
        </w:rPr>
        <w:t>24 de juny (Sant Joan)</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15 d'agost (l'Assumpció).</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11 de setembre (Diada Nacional de Catalunya).</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12 d'octubre (Festa Nacional d'Espanya).</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1 de novembre (Tots Sants).</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6 de desembre (Dia de la Constitució).</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25 de desembre (Nadal)</w:t>
      </w:r>
    </w:p>
    <w:p w:rsidR="00280CF8" w:rsidRPr="00280CF8" w:rsidRDefault="00280CF8" w:rsidP="00280CF8">
      <w:pPr>
        <w:pStyle w:val="Prrafodelista"/>
        <w:numPr>
          <w:ilvl w:val="0"/>
          <w:numId w:val="21"/>
        </w:numPr>
        <w:spacing w:line="240" w:lineRule="atLeast"/>
        <w:ind w:left="0" w:firstLine="0"/>
        <w:rPr>
          <w:rFonts w:ascii="Century Gothic" w:hAnsi="Century Gothic"/>
        </w:rPr>
      </w:pPr>
      <w:r w:rsidRPr="00280CF8">
        <w:rPr>
          <w:rFonts w:ascii="Century Gothic" w:hAnsi="Century Gothic"/>
        </w:rPr>
        <w:t>26 de desembre (Sant Esteve).</w:t>
      </w:r>
    </w:p>
    <w:p w:rsidR="00280CF8" w:rsidRPr="00280CF8" w:rsidRDefault="00280CF8" w:rsidP="00280CF8">
      <w:pPr>
        <w:pStyle w:val="Prrafodelista"/>
        <w:spacing w:line="240" w:lineRule="atLeast"/>
        <w:ind w:left="0"/>
        <w:jc w:val="both"/>
        <w:rPr>
          <w:rFonts w:ascii="Century Gothic" w:hAnsi="Century Gothic"/>
        </w:rPr>
      </w:pPr>
    </w:p>
    <w:p w:rsidR="00280CF8" w:rsidRPr="00280CF8" w:rsidRDefault="00934F0C" w:rsidP="00280CF8">
      <w:pPr>
        <w:pStyle w:val="Prrafodelista"/>
        <w:numPr>
          <w:ilvl w:val="0"/>
          <w:numId w:val="20"/>
        </w:numPr>
        <w:spacing w:line="240" w:lineRule="atLeast"/>
        <w:ind w:left="0" w:firstLine="0"/>
        <w:jc w:val="both"/>
        <w:rPr>
          <w:rFonts w:ascii="Century Gothic" w:hAnsi="Century Gothic"/>
        </w:rPr>
      </w:pPr>
      <w:r>
        <w:rPr>
          <w:rFonts w:ascii="Century Gothic" w:hAnsi="Century Gothic"/>
        </w:rPr>
        <w:t xml:space="preserve">A més de les festes esmentades, </w:t>
      </w:r>
      <w:r w:rsidR="00280CF8" w:rsidRPr="00280CF8">
        <w:rPr>
          <w:rFonts w:ascii="Century Gothic" w:hAnsi="Century Gothic"/>
        </w:rPr>
        <w:t xml:space="preserve"> el Ple de la Corporació, va acordar que les festes locals per l’any 201</w:t>
      </w:r>
      <w:r>
        <w:rPr>
          <w:rFonts w:ascii="Century Gothic" w:hAnsi="Century Gothic"/>
        </w:rPr>
        <w:t>9</w:t>
      </w:r>
      <w:r w:rsidR="00280CF8" w:rsidRPr="00280CF8">
        <w:rPr>
          <w:rFonts w:ascii="Century Gothic" w:hAnsi="Century Gothic"/>
        </w:rPr>
        <w:t xml:space="preserve"> s’escaiguin en els següents dies:</w:t>
      </w:r>
    </w:p>
    <w:p w:rsidR="00280CF8" w:rsidRPr="00280CF8" w:rsidRDefault="00280CF8" w:rsidP="00280CF8">
      <w:pPr>
        <w:pStyle w:val="Prrafodelista"/>
        <w:spacing w:line="240" w:lineRule="atLeast"/>
        <w:ind w:left="0"/>
        <w:jc w:val="both"/>
        <w:rPr>
          <w:rFonts w:ascii="Century Gothic" w:hAnsi="Century Gothic"/>
        </w:rPr>
      </w:pPr>
      <w:r w:rsidRPr="00280CF8">
        <w:rPr>
          <w:rFonts w:ascii="Century Gothic" w:hAnsi="Century Gothic"/>
        </w:rPr>
        <w:t>- Di</w:t>
      </w:r>
      <w:r w:rsidR="00934F0C">
        <w:rPr>
          <w:rFonts w:ascii="Century Gothic" w:hAnsi="Century Gothic"/>
        </w:rPr>
        <w:t>marts</w:t>
      </w:r>
      <w:r w:rsidRPr="00280CF8">
        <w:rPr>
          <w:rFonts w:ascii="Century Gothic" w:hAnsi="Century Gothic"/>
        </w:rPr>
        <w:t>, 14 de maig 201</w:t>
      </w:r>
      <w:r w:rsidR="00934F0C">
        <w:rPr>
          <w:rFonts w:ascii="Century Gothic" w:hAnsi="Century Gothic"/>
        </w:rPr>
        <w:t>9</w:t>
      </w:r>
    </w:p>
    <w:p w:rsidR="00280CF8" w:rsidRPr="00280CF8" w:rsidRDefault="00280CF8" w:rsidP="00280CF8">
      <w:pPr>
        <w:pStyle w:val="Prrafodelista"/>
        <w:spacing w:line="240" w:lineRule="atLeast"/>
        <w:ind w:left="0"/>
        <w:jc w:val="both"/>
        <w:rPr>
          <w:rFonts w:ascii="Century Gothic" w:hAnsi="Century Gothic"/>
        </w:rPr>
      </w:pPr>
      <w:r w:rsidRPr="00280CF8">
        <w:rPr>
          <w:rFonts w:ascii="Century Gothic" w:hAnsi="Century Gothic"/>
        </w:rPr>
        <w:t>- Di</w:t>
      </w:r>
      <w:r w:rsidR="00934F0C">
        <w:rPr>
          <w:rFonts w:ascii="Century Gothic" w:hAnsi="Century Gothic"/>
        </w:rPr>
        <w:t>marts</w:t>
      </w:r>
      <w:r w:rsidRPr="00280CF8">
        <w:rPr>
          <w:rFonts w:ascii="Century Gothic" w:hAnsi="Century Gothic"/>
        </w:rPr>
        <w:t>, 10 de setembre 201</w:t>
      </w:r>
      <w:r w:rsidR="00934F0C">
        <w:rPr>
          <w:rFonts w:ascii="Century Gothic" w:hAnsi="Century Gothic"/>
        </w:rPr>
        <w:t>9</w:t>
      </w:r>
    </w:p>
    <w:p w:rsidR="00280CF8" w:rsidRPr="00280CF8" w:rsidRDefault="00280CF8" w:rsidP="00280CF8">
      <w:pPr>
        <w:pStyle w:val="Prrafodelista"/>
        <w:spacing w:line="240" w:lineRule="atLeast"/>
        <w:ind w:left="0"/>
        <w:jc w:val="both"/>
        <w:rPr>
          <w:rFonts w:ascii="Century Gothic" w:hAnsi="Century Gothic"/>
        </w:rPr>
      </w:pPr>
    </w:p>
    <w:p w:rsidR="00280CF8" w:rsidRPr="00280CF8" w:rsidRDefault="00280CF8" w:rsidP="00280CF8">
      <w:pPr>
        <w:pStyle w:val="Prrafodelista"/>
        <w:numPr>
          <w:ilvl w:val="0"/>
          <w:numId w:val="20"/>
        </w:numPr>
        <w:spacing w:line="240" w:lineRule="atLeast"/>
        <w:ind w:left="0" w:firstLine="0"/>
        <w:jc w:val="both"/>
        <w:rPr>
          <w:rFonts w:ascii="Century Gothic" w:hAnsi="Century Gothic"/>
        </w:rPr>
      </w:pPr>
      <w:r w:rsidRPr="00280CF8">
        <w:rPr>
          <w:rFonts w:ascii="Century Gothic" w:hAnsi="Century Gothic"/>
        </w:rPr>
        <w:t xml:space="preserve">Per altra banda, l’article 9.8 de la Resolució de 28 de </w:t>
      </w:r>
      <w:r w:rsidR="00934F0C">
        <w:rPr>
          <w:rFonts w:ascii="Century Gothic" w:hAnsi="Century Gothic"/>
        </w:rPr>
        <w:t>febrer</w:t>
      </w:r>
      <w:r w:rsidRPr="00280CF8">
        <w:rPr>
          <w:rFonts w:ascii="Century Gothic" w:hAnsi="Century Gothic"/>
        </w:rPr>
        <w:t xml:space="preserve"> de 201</w:t>
      </w:r>
      <w:r w:rsidR="00934F0C">
        <w:rPr>
          <w:rFonts w:ascii="Century Gothic" w:hAnsi="Century Gothic"/>
        </w:rPr>
        <w:t>9</w:t>
      </w:r>
      <w:r w:rsidRPr="00280CF8">
        <w:rPr>
          <w:rFonts w:ascii="Century Gothic" w:hAnsi="Century Gothic"/>
        </w:rPr>
        <w:t xml:space="preserve"> disposa que, els dies 24 i 31 de desembre estaran tancades les oficines públiques, a excepció de determinats serveis, i que els calendaris laborals incorporaran 2 dies de permís quan els dies 24 i 31 de desembre coincideixin en festiu, dissabte o dia no laborable.</w:t>
      </w:r>
    </w:p>
    <w:p w:rsidR="00280CF8" w:rsidRPr="00280CF8" w:rsidRDefault="00280CF8" w:rsidP="00280CF8">
      <w:pPr>
        <w:pStyle w:val="Prrafodelista"/>
        <w:spacing w:line="240" w:lineRule="atLeast"/>
        <w:ind w:left="0"/>
        <w:jc w:val="both"/>
        <w:rPr>
          <w:rFonts w:ascii="Century Gothic" w:hAnsi="Century Gothic"/>
        </w:rPr>
      </w:pPr>
    </w:p>
    <w:p w:rsidR="00280CF8" w:rsidRPr="00280CF8" w:rsidRDefault="003B2317" w:rsidP="003B2317">
      <w:pPr>
        <w:pStyle w:val="Prrafodelista"/>
        <w:spacing w:line="240" w:lineRule="atLeast"/>
        <w:ind w:left="0"/>
        <w:jc w:val="both"/>
        <w:rPr>
          <w:rFonts w:ascii="Century Gothic" w:hAnsi="Century Gothic"/>
        </w:rPr>
      </w:pPr>
      <w:r>
        <w:rPr>
          <w:rFonts w:ascii="Century Gothic" w:hAnsi="Century Gothic"/>
        </w:rPr>
        <w:lastRenderedPageBreak/>
        <w:t>E</w:t>
      </w:r>
      <w:r w:rsidR="00280CF8" w:rsidRPr="00280CF8">
        <w:rPr>
          <w:rFonts w:ascii="Century Gothic" w:hAnsi="Century Gothic"/>
        </w:rPr>
        <w:t>l mateix precepte, estableix que els calendaris laborals incorporaran cada any natural, i com a màxim, un dia de permís quan alguna o algunes festivitats l</w:t>
      </w:r>
      <w:r w:rsidR="00280CF8">
        <w:rPr>
          <w:rFonts w:ascii="Century Gothic" w:hAnsi="Century Gothic"/>
        </w:rPr>
        <w:t>aborals d’àmbit nacional de caràcter retribuït, no recuperable i no substituï</w:t>
      </w:r>
      <w:r w:rsidR="00280CF8" w:rsidRPr="00280CF8">
        <w:rPr>
          <w:rFonts w:ascii="Century Gothic" w:hAnsi="Century Gothic"/>
        </w:rPr>
        <w:t>ble per les Comunitats Autònomes, coincideixi amb dissabte en aquell any.</w:t>
      </w:r>
    </w:p>
    <w:p w:rsidR="00280CF8" w:rsidRPr="00280CF8" w:rsidRDefault="00280CF8" w:rsidP="00280CF8">
      <w:pPr>
        <w:pStyle w:val="Prrafodelista"/>
        <w:spacing w:line="240" w:lineRule="atLeast"/>
        <w:ind w:left="0"/>
        <w:jc w:val="both"/>
        <w:rPr>
          <w:rFonts w:ascii="Century Gothic" w:hAnsi="Century Gothic"/>
        </w:rPr>
      </w:pPr>
    </w:p>
    <w:p w:rsidR="00280CF8" w:rsidRPr="002B2E80" w:rsidRDefault="00280CF8" w:rsidP="00280CF8">
      <w:pPr>
        <w:pStyle w:val="HTMLconformatoprevio"/>
        <w:shd w:val="clear" w:color="auto" w:fill="FFFFFF"/>
        <w:rPr>
          <w:rFonts w:ascii="Century Gothic" w:hAnsi="Century Gothic"/>
          <w:sz w:val="22"/>
          <w:szCs w:val="22"/>
        </w:rPr>
      </w:pPr>
      <w:r w:rsidRPr="002B2E80">
        <w:rPr>
          <w:rFonts w:ascii="Century Gothic" w:hAnsi="Century Gothic"/>
          <w:sz w:val="22"/>
          <w:szCs w:val="22"/>
        </w:rPr>
        <w:t xml:space="preserve">De la relació festivitats laborals d’àmbit nacional de caràcter retribuït, no recuperable i no substituïble per les Comunitats Autònomes, el dia </w:t>
      </w:r>
      <w:r w:rsidR="002B2E80" w:rsidRPr="002B2E80">
        <w:rPr>
          <w:rFonts w:ascii="Century Gothic" w:hAnsi="Century Gothic"/>
          <w:sz w:val="22"/>
          <w:szCs w:val="22"/>
        </w:rPr>
        <w:t>12 d’octubre de 2019</w:t>
      </w:r>
      <w:r w:rsidRPr="002B2E80">
        <w:rPr>
          <w:rFonts w:ascii="Century Gothic" w:hAnsi="Century Gothic"/>
          <w:sz w:val="22"/>
          <w:szCs w:val="22"/>
        </w:rPr>
        <w:t xml:space="preserve"> coincideix en dissabte, per aquest motiu, la Secretaria de Funció Pública, mitjançant Resolució de data </w:t>
      </w:r>
      <w:r w:rsidR="002B2E80" w:rsidRPr="002B2E80">
        <w:rPr>
          <w:rFonts w:ascii="Century Gothic" w:hAnsi="Century Gothic"/>
          <w:sz w:val="22"/>
          <w:szCs w:val="22"/>
        </w:rPr>
        <w:t>21</w:t>
      </w:r>
      <w:r w:rsidRPr="002B2E80">
        <w:rPr>
          <w:rFonts w:ascii="Century Gothic" w:hAnsi="Century Gothic"/>
          <w:sz w:val="22"/>
          <w:szCs w:val="22"/>
        </w:rPr>
        <w:t xml:space="preserve"> de febrer de 201</w:t>
      </w:r>
      <w:r w:rsidR="002B2E80" w:rsidRPr="002B2E80">
        <w:rPr>
          <w:rFonts w:ascii="Century Gothic" w:hAnsi="Century Gothic"/>
          <w:sz w:val="22"/>
          <w:szCs w:val="22"/>
        </w:rPr>
        <w:t>9</w:t>
      </w:r>
      <w:r w:rsidRPr="002B2E80">
        <w:rPr>
          <w:rFonts w:ascii="Century Gothic" w:hAnsi="Century Gothic"/>
          <w:sz w:val="22"/>
          <w:szCs w:val="22"/>
        </w:rPr>
        <w:t xml:space="preserve"> ha resolt que: </w:t>
      </w:r>
    </w:p>
    <w:p w:rsidR="00280CF8" w:rsidRPr="002B2E80" w:rsidRDefault="00280CF8" w:rsidP="00280CF8">
      <w:pPr>
        <w:pStyle w:val="HTMLconformatoprevio"/>
        <w:shd w:val="clear" w:color="auto" w:fill="FFFFFF"/>
        <w:rPr>
          <w:rFonts w:ascii="Century Gothic" w:hAnsi="Century Gothic"/>
        </w:rPr>
      </w:pPr>
    </w:p>
    <w:p w:rsidR="00280CF8" w:rsidRPr="002B2E80" w:rsidRDefault="00280CF8" w:rsidP="00280CF8">
      <w:pPr>
        <w:pStyle w:val="HTMLconformatoprevio"/>
        <w:shd w:val="clear" w:color="auto" w:fill="FFFFFF"/>
        <w:rPr>
          <w:rFonts w:ascii="Century Gothic" w:hAnsi="Century Gothic"/>
          <w:i/>
          <w:color w:val="212121"/>
          <w:sz w:val="22"/>
          <w:szCs w:val="22"/>
        </w:rPr>
      </w:pPr>
      <w:r w:rsidRPr="002B2E80">
        <w:rPr>
          <w:rFonts w:ascii="Century Gothic" w:hAnsi="Century Gothic"/>
          <w:i/>
          <w:color w:val="212121"/>
          <w:sz w:val="22"/>
          <w:szCs w:val="22"/>
        </w:rPr>
        <w:t>“El personal al qual li és d'aplicació la Resolució de 28 de desembre de 2012 tindrà dret a gaudir durant l'any 201</w:t>
      </w:r>
      <w:r w:rsidR="002B2E80" w:rsidRPr="002B2E80">
        <w:rPr>
          <w:rFonts w:ascii="Century Gothic" w:hAnsi="Century Gothic"/>
          <w:i/>
          <w:color w:val="212121"/>
          <w:sz w:val="22"/>
          <w:szCs w:val="22"/>
        </w:rPr>
        <w:t>9</w:t>
      </w:r>
      <w:r w:rsidRPr="002B2E80">
        <w:rPr>
          <w:rFonts w:ascii="Century Gothic" w:hAnsi="Century Gothic"/>
          <w:i/>
          <w:color w:val="212121"/>
          <w:sz w:val="22"/>
          <w:szCs w:val="22"/>
        </w:rPr>
        <w:t xml:space="preserve"> d'un altre dia de permís addicional donat que el dia </w:t>
      </w:r>
      <w:r w:rsidR="002B2E80" w:rsidRPr="002B2E80">
        <w:rPr>
          <w:rFonts w:ascii="Century Gothic" w:hAnsi="Century Gothic"/>
          <w:i/>
          <w:color w:val="212121"/>
          <w:sz w:val="22"/>
          <w:szCs w:val="22"/>
        </w:rPr>
        <w:t>12 d’octubre</w:t>
      </w:r>
      <w:r w:rsidRPr="002B2E80">
        <w:rPr>
          <w:rFonts w:ascii="Century Gothic" w:hAnsi="Century Gothic"/>
          <w:i/>
          <w:color w:val="212121"/>
          <w:sz w:val="22"/>
          <w:szCs w:val="22"/>
        </w:rPr>
        <w:t xml:space="preserve"> de 20</w:t>
      </w:r>
      <w:r w:rsidR="002B2E80" w:rsidRPr="002B2E80">
        <w:rPr>
          <w:rFonts w:ascii="Century Gothic" w:hAnsi="Century Gothic"/>
          <w:i/>
          <w:color w:val="212121"/>
          <w:sz w:val="22"/>
          <w:szCs w:val="22"/>
        </w:rPr>
        <w:t>19</w:t>
      </w:r>
      <w:r w:rsidRPr="002B2E80">
        <w:rPr>
          <w:rFonts w:ascii="Century Gothic" w:hAnsi="Century Gothic"/>
          <w:i/>
          <w:color w:val="212121"/>
          <w:sz w:val="22"/>
          <w:szCs w:val="22"/>
        </w:rPr>
        <w:t xml:space="preserve"> és festiu nacional de caràcter retribuït, no recuperable i no substituïble per les comunitats autònomes, i coincideix en dissabte.</w:t>
      </w:r>
    </w:p>
    <w:p w:rsidR="00280CF8" w:rsidRPr="00280CF8" w:rsidRDefault="00280CF8" w:rsidP="00280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color w:val="212121"/>
          <w:szCs w:val="22"/>
        </w:rPr>
      </w:pPr>
      <w:r w:rsidRPr="002B2E80">
        <w:rPr>
          <w:rFonts w:cs="Courier New"/>
          <w:i/>
          <w:color w:val="212121"/>
          <w:szCs w:val="22"/>
        </w:rPr>
        <w:t xml:space="preserve">Aquest permís atenent les necessitats del servei, podrà gaudir-se individualment o </w:t>
      </w:r>
      <w:proofErr w:type="spellStart"/>
      <w:r w:rsidRPr="002B2E80">
        <w:rPr>
          <w:rFonts w:cs="Courier New"/>
          <w:i/>
          <w:color w:val="212121"/>
          <w:szCs w:val="22"/>
        </w:rPr>
        <w:t>acumular-tant</w:t>
      </w:r>
      <w:proofErr w:type="spellEnd"/>
      <w:r w:rsidRPr="002B2E80">
        <w:rPr>
          <w:rFonts w:cs="Courier New"/>
          <w:i/>
          <w:color w:val="212121"/>
          <w:szCs w:val="22"/>
        </w:rPr>
        <w:t xml:space="preserve"> als dies de vacances de 201</w:t>
      </w:r>
      <w:r w:rsidR="002B2E80" w:rsidRPr="002B2E80">
        <w:rPr>
          <w:rFonts w:cs="Courier New"/>
          <w:i/>
          <w:color w:val="212121"/>
          <w:szCs w:val="22"/>
        </w:rPr>
        <w:t>9</w:t>
      </w:r>
      <w:r w:rsidRPr="002B2E80">
        <w:rPr>
          <w:rFonts w:cs="Courier New"/>
          <w:i/>
          <w:color w:val="212121"/>
          <w:szCs w:val="22"/>
        </w:rPr>
        <w:t xml:space="preserve"> que es gaudeixin de forma independent com als dies per assumptes particulars de 201</w:t>
      </w:r>
      <w:r w:rsidR="002B2E80" w:rsidRPr="002B2E80">
        <w:rPr>
          <w:rFonts w:cs="Courier New"/>
          <w:i/>
          <w:color w:val="212121"/>
          <w:szCs w:val="22"/>
        </w:rPr>
        <w:t>9</w:t>
      </w:r>
      <w:r w:rsidRPr="002B2E80">
        <w:rPr>
          <w:rFonts w:cs="Courier New"/>
          <w:i/>
          <w:color w:val="212121"/>
          <w:szCs w:val="22"/>
        </w:rPr>
        <w:t>.”</w:t>
      </w:r>
    </w:p>
    <w:p w:rsidR="00280CF8" w:rsidRPr="00280CF8" w:rsidRDefault="00280CF8" w:rsidP="00280CF8">
      <w:pPr>
        <w:pStyle w:val="Prrafodelista"/>
        <w:tabs>
          <w:tab w:val="left" w:pos="708"/>
        </w:tabs>
        <w:spacing w:line="240" w:lineRule="atLeast"/>
        <w:ind w:left="0"/>
        <w:jc w:val="both"/>
        <w:rPr>
          <w:rFonts w:ascii="Century Gothic" w:hAnsi="Century Gothic"/>
        </w:rPr>
      </w:pPr>
    </w:p>
    <w:p w:rsidR="00280CF8" w:rsidRPr="00280CF8" w:rsidRDefault="00280CF8" w:rsidP="00280CF8">
      <w:pPr>
        <w:pStyle w:val="Prrafodelista"/>
        <w:numPr>
          <w:ilvl w:val="0"/>
          <w:numId w:val="20"/>
        </w:numPr>
        <w:tabs>
          <w:tab w:val="left" w:pos="708"/>
        </w:tabs>
        <w:spacing w:line="240" w:lineRule="atLeast"/>
        <w:ind w:left="0" w:firstLine="0"/>
        <w:jc w:val="both"/>
        <w:rPr>
          <w:rFonts w:ascii="Century Gothic" w:hAnsi="Century Gothic"/>
        </w:rPr>
      </w:pPr>
      <w:r w:rsidRPr="00280CF8">
        <w:rPr>
          <w:rFonts w:ascii="Century Gothic" w:hAnsi="Century Gothic"/>
        </w:rPr>
        <w:t xml:space="preserve">El capítol segon del Text refós del </w:t>
      </w:r>
      <w:proofErr w:type="spellStart"/>
      <w:r w:rsidRPr="00280CF8">
        <w:rPr>
          <w:rFonts w:ascii="Century Gothic" w:hAnsi="Century Gothic"/>
        </w:rPr>
        <w:t>Pacte-conveni</w:t>
      </w:r>
      <w:proofErr w:type="spellEnd"/>
      <w:r w:rsidRPr="00280CF8">
        <w:rPr>
          <w:rFonts w:ascii="Century Gothic" w:hAnsi="Century Gothic"/>
        </w:rPr>
        <w:t xml:space="preserve"> per els empleats públics de l’Ajuntament de Tàrrega regula la jornada i el règim de treball i entre d’altres aspectes, estableix que la jornada de treball ordinària, que tindrà el caràcter de jornada a temps complet, es de 37 hores i 30 minuts de treball efectiu setmanal de mitjana en còmput anual.</w:t>
      </w:r>
    </w:p>
    <w:p w:rsidR="00280CF8" w:rsidRPr="00280CF8" w:rsidRDefault="00280CF8" w:rsidP="00280CF8">
      <w:pPr>
        <w:pStyle w:val="Prrafodelista"/>
        <w:tabs>
          <w:tab w:val="left" w:pos="708"/>
        </w:tabs>
        <w:spacing w:line="240" w:lineRule="atLeast"/>
        <w:ind w:left="0"/>
        <w:jc w:val="both"/>
        <w:rPr>
          <w:rFonts w:ascii="Century Gothic" w:hAnsi="Century Gothic"/>
        </w:rPr>
      </w:pPr>
    </w:p>
    <w:p w:rsidR="00280CF8" w:rsidRPr="00280CF8" w:rsidRDefault="00280CF8" w:rsidP="00280CF8">
      <w:pPr>
        <w:pStyle w:val="Prrafodelista"/>
        <w:tabs>
          <w:tab w:val="left" w:pos="708"/>
        </w:tabs>
        <w:spacing w:line="240" w:lineRule="atLeast"/>
        <w:ind w:left="0"/>
        <w:jc w:val="both"/>
        <w:rPr>
          <w:rFonts w:ascii="Century Gothic" w:hAnsi="Century Gothic"/>
        </w:rPr>
      </w:pPr>
      <w:r w:rsidRPr="00280CF8">
        <w:rPr>
          <w:rFonts w:ascii="Century Gothic" w:hAnsi="Century Gothic"/>
        </w:rPr>
        <w:t xml:space="preserve">Tot i això, l’Annex I Text refós del </w:t>
      </w:r>
      <w:proofErr w:type="spellStart"/>
      <w:r w:rsidRPr="00280CF8">
        <w:rPr>
          <w:rFonts w:ascii="Century Gothic" w:hAnsi="Century Gothic"/>
        </w:rPr>
        <w:t>Pacte-conveni</w:t>
      </w:r>
      <w:proofErr w:type="spellEnd"/>
      <w:r w:rsidRPr="00280CF8">
        <w:rPr>
          <w:rFonts w:ascii="Century Gothic" w:hAnsi="Century Gothic"/>
        </w:rPr>
        <w:t xml:space="preserve"> per els empleats públics de l’Ajuntament de Tàrrega recull algunes singularitats referents a la jornada i horaris dels empleats adscrits a les Llars d’Infants municipals i l’Escola Municipal de Música de Tàrrega.</w:t>
      </w:r>
    </w:p>
    <w:p w:rsidR="00280CF8" w:rsidRPr="00280CF8" w:rsidRDefault="00280CF8" w:rsidP="00280CF8">
      <w:pPr>
        <w:pStyle w:val="Prrafodelista"/>
        <w:tabs>
          <w:tab w:val="left" w:pos="708"/>
        </w:tabs>
        <w:spacing w:line="240" w:lineRule="atLeast"/>
        <w:ind w:left="0"/>
        <w:jc w:val="both"/>
        <w:rPr>
          <w:rFonts w:ascii="Century Gothic" w:hAnsi="Century Gothic"/>
        </w:rPr>
      </w:pPr>
    </w:p>
    <w:p w:rsidR="00280CF8" w:rsidRPr="00280CF8" w:rsidRDefault="00280CF8" w:rsidP="00280CF8">
      <w:pPr>
        <w:pStyle w:val="Prrafodelista"/>
        <w:tabs>
          <w:tab w:val="left" w:pos="708"/>
        </w:tabs>
        <w:spacing w:line="240" w:lineRule="atLeast"/>
        <w:ind w:left="0"/>
        <w:jc w:val="both"/>
        <w:rPr>
          <w:rFonts w:ascii="Century Gothic" w:hAnsi="Century Gothic"/>
        </w:rPr>
      </w:pPr>
      <w:r w:rsidRPr="00280CF8">
        <w:rPr>
          <w:rFonts w:ascii="Century Gothic" w:hAnsi="Century Gothic"/>
        </w:rPr>
        <w:t xml:space="preserve">Per altra banda, també cal tenir en compte que el personal que íntegra el Cos de la Policia local de l’Ajuntament de Tàrrega es regirà per </w:t>
      </w:r>
      <w:proofErr w:type="spellStart"/>
      <w:r w:rsidRPr="00280CF8">
        <w:rPr>
          <w:rFonts w:ascii="Century Gothic" w:hAnsi="Century Gothic"/>
        </w:rPr>
        <w:t>l’establert</w:t>
      </w:r>
      <w:proofErr w:type="spellEnd"/>
      <w:r w:rsidRPr="00280CF8">
        <w:rPr>
          <w:rFonts w:ascii="Century Gothic" w:hAnsi="Century Gothic"/>
        </w:rPr>
        <w:t xml:space="preserve"> a l’Annex de condicions de treball específiques de la policia local de l’Ajuntament de Tàrrega.</w:t>
      </w:r>
    </w:p>
    <w:p w:rsidR="00280CF8" w:rsidRPr="00280CF8" w:rsidRDefault="00280CF8" w:rsidP="00280CF8">
      <w:pPr>
        <w:pStyle w:val="Prrafodelista"/>
        <w:tabs>
          <w:tab w:val="left" w:pos="708"/>
        </w:tabs>
        <w:spacing w:line="240" w:lineRule="atLeast"/>
        <w:ind w:left="0"/>
        <w:jc w:val="both"/>
        <w:rPr>
          <w:rFonts w:ascii="Century Gothic" w:hAnsi="Century Gothic"/>
        </w:rPr>
      </w:pPr>
    </w:p>
    <w:p w:rsidR="00280CF8" w:rsidRPr="00280CF8" w:rsidRDefault="00280CF8" w:rsidP="00280CF8">
      <w:pPr>
        <w:pStyle w:val="Prrafodelista"/>
        <w:numPr>
          <w:ilvl w:val="0"/>
          <w:numId w:val="20"/>
        </w:numPr>
        <w:tabs>
          <w:tab w:val="left" w:pos="708"/>
        </w:tabs>
        <w:spacing w:line="240" w:lineRule="atLeast"/>
        <w:ind w:left="0" w:firstLine="0"/>
        <w:jc w:val="both"/>
        <w:rPr>
          <w:rFonts w:ascii="Century Gothic" w:hAnsi="Century Gothic"/>
        </w:rPr>
      </w:pPr>
      <w:r w:rsidRPr="00280CF8">
        <w:rPr>
          <w:rFonts w:ascii="Century Gothic" w:hAnsi="Century Gothic"/>
        </w:rPr>
        <w:t>Per establir el calendari laboral, anualment, cal realitzar el còmput d’hores de treball efectiu per l’any corresponent.</w:t>
      </w:r>
      <w:r w:rsidRPr="00280CF8">
        <w:rPr>
          <w:rFonts w:ascii="Century Gothic" w:hAnsi="Century Gothic" w:cs="Arial"/>
          <w:lang w:eastAsia="es-ES"/>
        </w:rPr>
        <w:t xml:space="preserve"> </w:t>
      </w:r>
    </w:p>
    <w:p w:rsidR="00280CF8" w:rsidRPr="00280CF8" w:rsidRDefault="00280CF8" w:rsidP="00280CF8">
      <w:pPr>
        <w:pStyle w:val="Prrafodelista"/>
        <w:tabs>
          <w:tab w:val="left" w:pos="708"/>
        </w:tabs>
        <w:spacing w:line="240" w:lineRule="atLeast"/>
        <w:ind w:left="0"/>
        <w:jc w:val="both"/>
        <w:rPr>
          <w:rFonts w:ascii="Century Gothic" w:hAnsi="Century Gothic"/>
        </w:rPr>
      </w:pPr>
    </w:p>
    <w:p w:rsidR="00280CF8" w:rsidRPr="00280CF8" w:rsidRDefault="00280CF8" w:rsidP="00280CF8">
      <w:pPr>
        <w:pStyle w:val="Prrafodelista"/>
        <w:tabs>
          <w:tab w:val="left" w:pos="708"/>
        </w:tabs>
        <w:spacing w:line="240" w:lineRule="atLeast"/>
        <w:ind w:left="0"/>
        <w:jc w:val="both"/>
        <w:rPr>
          <w:rFonts w:ascii="Century Gothic" w:hAnsi="Century Gothic"/>
        </w:rPr>
      </w:pPr>
      <w:r w:rsidRPr="00280CF8">
        <w:rPr>
          <w:rFonts w:ascii="Century Gothic" w:hAnsi="Century Gothic"/>
        </w:rPr>
        <w:t>Per realitzar aquests càlcul, cal restar als 365 dies de l’any, (o 366 segons l’any), els següents conceptes:</w:t>
      </w:r>
    </w:p>
    <w:p w:rsidR="00280CF8" w:rsidRPr="00280CF8" w:rsidRDefault="00280CF8" w:rsidP="00280CF8">
      <w:pPr>
        <w:numPr>
          <w:ilvl w:val="0"/>
          <w:numId w:val="22"/>
        </w:numPr>
        <w:tabs>
          <w:tab w:val="left" w:pos="708"/>
        </w:tabs>
        <w:spacing w:line="240" w:lineRule="atLeast"/>
        <w:ind w:left="0" w:right="743" w:firstLine="0"/>
        <w:rPr>
          <w:szCs w:val="22"/>
        </w:rPr>
      </w:pPr>
      <w:r w:rsidRPr="00280CF8">
        <w:rPr>
          <w:szCs w:val="22"/>
        </w:rPr>
        <w:t>els festius estatals i autonòmics</w:t>
      </w:r>
    </w:p>
    <w:p w:rsidR="00280CF8" w:rsidRPr="00280CF8" w:rsidRDefault="00280CF8" w:rsidP="00280CF8">
      <w:pPr>
        <w:numPr>
          <w:ilvl w:val="0"/>
          <w:numId w:val="22"/>
        </w:numPr>
        <w:tabs>
          <w:tab w:val="left" w:pos="708"/>
        </w:tabs>
        <w:spacing w:line="240" w:lineRule="atLeast"/>
        <w:ind w:left="0" w:right="743" w:firstLine="0"/>
        <w:rPr>
          <w:szCs w:val="22"/>
        </w:rPr>
      </w:pPr>
      <w:r w:rsidRPr="00280CF8">
        <w:rPr>
          <w:szCs w:val="22"/>
        </w:rPr>
        <w:t xml:space="preserve">el nombre de dissabtes i diumenges de l’any corresponent. </w:t>
      </w:r>
    </w:p>
    <w:p w:rsidR="00280CF8" w:rsidRPr="00280CF8" w:rsidRDefault="00280CF8" w:rsidP="00280CF8">
      <w:pPr>
        <w:numPr>
          <w:ilvl w:val="0"/>
          <w:numId w:val="22"/>
        </w:numPr>
        <w:tabs>
          <w:tab w:val="left" w:pos="708"/>
        </w:tabs>
        <w:spacing w:line="240" w:lineRule="atLeast"/>
        <w:ind w:left="0" w:right="743" w:firstLine="0"/>
        <w:rPr>
          <w:szCs w:val="22"/>
        </w:rPr>
      </w:pPr>
      <w:r w:rsidRPr="00280CF8">
        <w:rPr>
          <w:szCs w:val="22"/>
        </w:rPr>
        <w:t>les 2 festes locals</w:t>
      </w:r>
    </w:p>
    <w:p w:rsidR="00280CF8" w:rsidRPr="00280CF8" w:rsidRDefault="00280CF8" w:rsidP="00280CF8">
      <w:pPr>
        <w:numPr>
          <w:ilvl w:val="0"/>
          <w:numId w:val="22"/>
        </w:numPr>
        <w:tabs>
          <w:tab w:val="left" w:pos="708"/>
        </w:tabs>
        <w:spacing w:line="240" w:lineRule="atLeast"/>
        <w:ind w:left="0" w:right="743" w:firstLine="0"/>
        <w:rPr>
          <w:szCs w:val="22"/>
        </w:rPr>
      </w:pPr>
      <w:r w:rsidRPr="00280CF8">
        <w:rPr>
          <w:szCs w:val="22"/>
        </w:rPr>
        <w:t>el nombre de dies de vacances</w:t>
      </w:r>
    </w:p>
    <w:p w:rsidR="00280CF8" w:rsidRPr="00280CF8" w:rsidRDefault="00280CF8" w:rsidP="00280CF8">
      <w:pPr>
        <w:numPr>
          <w:ilvl w:val="0"/>
          <w:numId w:val="22"/>
        </w:numPr>
        <w:tabs>
          <w:tab w:val="left" w:pos="708"/>
        </w:tabs>
        <w:spacing w:line="240" w:lineRule="atLeast"/>
        <w:ind w:left="0" w:right="743" w:firstLine="0"/>
        <w:rPr>
          <w:szCs w:val="22"/>
        </w:rPr>
      </w:pPr>
      <w:r w:rsidRPr="00280CF8">
        <w:rPr>
          <w:szCs w:val="22"/>
        </w:rPr>
        <w:t>el nombre de dies d’assumptes particulars</w:t>
      </w:r>
    </w:p>
    <w:p w:rsidR="00280CF8" w:rsidRPr="00280CF8" w:rsidRDefault="00280CF8" w:rsidP="00280CF8">
      <w:pPr>
        <w:tabs>
          <w:tab w:val="left" w:pos="708"/>
        </w:tabs>
        <w:spacing w:line="240" w:lineRule="atLeast"/>
        <w:ind w:right="743"/>
        <w:rPr>
          <w:szCs w:val="22"/>
        </w:rPr>
      </w:pPr>
      <w:r w:rsidRPr="00280CF8">
        <w:rPr>
          <w:szCs w:val="22"/>
        </w:rPr>
        <w:t>I el nombre de dies resultant es m</w:t>
      </w:r>
      <w:r w:rsidR="003B2317">
        <w:rPr>
          <w:szCs w:val="22"/>
        </w:rPr>
        <w:t xml:space="preserve">ultiplica per la jornada diària </w:t>
      </w:r>
      <w:r w:rsidRPr="00280CF8">
        <w:rPr>
          <w:szCs w:val="22"/>
        </w:rPr>
        <w:t>establerta amb caràcter general, que actualment és de 7,5 hores.</w:t>
      </w:r>
    </w:p>
    <w:p w:rsidR="00280CF8" w:rsidRPr="00280CF8" w:rsidRDefault="00280CF8" w:rsidP="00280CF8">
      <w:pPr>
        <w:tabs>
          <w:tab w:val="left" w:pos="708"/>
        </w:tabs>
        <w:spacing w:line="240" w:lineRule="atLeast"/>
        <w:ind w:right="743"/>
        <w:rPr>
          <w:szCs w:val="22"/>
        </w:rPr>
      </w:pPr>
    </w:p>
    <w:p w:rsidR="00B3581E" w:rsidRDefault="00B3581E" w:rsidP="00280CF8">
      <w:pPr>
        <w:tabs>
          <w:tab w:val="left" w:pos="708"/>
        </w:tabs>
        <w:spacing w:line="240" w:lineRule="atLeast"/>
        <w:rPr>
          <w:b/>
          <w:szCs w:val="22"/>
        </w:rPr>
      </w:pPr>
    </w:p>
    <w:p w:rsidR="00B3581E" w:rsidRDefault="00B3581E" w:rsidP="00280CF8">
      <w:pPr>
        <w:tabs>
          <w:tab w:val="left" w:pos="708"/>
        </w:tabs>
        <w:spacing w:line="240" w:lineRule="atLeast"/>
        <w:rPr>
          <w:b/>
          <w:szCs w:val="22"/>
        </w:rPr>
      </w:pPr>
    </w:p>
    <w:p w:rsidR="00B3581E" w:rsidRDefault="00B3581E" w:rsidP="00280CF8">
      <w:pPr>
        <w:tabs>
          <w:tab w:val="left" w:pos="708"/>
        </w:tabs>
        <w:spacing w:line="240" w:lineRule="atLeast"/>
        <w:rPr>
          <w:b/>
          <w:szCs w:val="22"/>
        </w:rPr>
      </w:pPr>
    </w:p>
    <w:p w:rsidR="00280CF8" w:rsidRPr="00280CF8" w:rsidRDefault="00280CF8" w:rsidP="00280CF8">
      <w:pPr>
        <w:tabs>
          <w:tab w:val="left" w:pos="708"/>
        </w:tabs>
        <w:spacing w:line="240" w:lineRule="atLeast"/>
        <w:rPr>
          <w:b/>
          <w:szCs w:val="22"/>
        </w:rPr>
      </w:pPr>
      <w:r w:rsidRPr="00280CF8">
        <w:rPr>
          <w:b/>
          <w:szCs w:val="22"/>
        </w:rPr>
        <w:t xml:space="preserve">Per tot </w:t>
      </w:r>
      <w:proofErr w:type="spellStart"/>
      <w:r w:rsidRPr="00280CF8">
        <w:rPr>
          <w:b/>
          <w:szCs w:val="22"/>
        </w:rPr>
        <w:t>l’exposat</w:t>
      </w:r>
      <w:proofErr w:type="spellEnd"/>
      <w:r w:rsidRPr="00280CF8">
        <w:rPr>
          <w:b/>
          <w:szCs w:val="22"/>
        </w:rPr>
        <w:t xml:space="preserve">, es proposa a la Junta de Govern Local, l’adopció dels següents acords: </w:t>
      </w:r>
    </w:p>
    <w:p w:rsidR="00280CF8" w:rsidRPr="00280CF8" w:rsidRDefault="00280CF8" w:rsidP="00280CF8">
      <w:pPr>
        <w:tabs>
          <w:tab w:val="left" w:pos="708"/>
        </w:tabs>
        <w:spacing w:line="240" w:lineRule="atLeast"/>
        <w:rPr>
          <w:szCs w:val="22"/>
        </w:rPr>
      </w:pPr>
    </w:p>
    <w:p w:rsidR="00280CF8" w:rsidRPr="00280CF8" w:rsidRDefault="00280CF8" w:rsidP="00280CF8">
      <w:pPr>
        <w:tabs>
          <w:tab w:val="left" w:pos="708"/>
        </w:tabs>
        <w:spacing w:line="240" w:lineRule="atLeast"/>
        <w:rPr>
          <w:rFonts w:eastAsia="ArialMT" w:cs="ArialMT"/>
          <w:szCs w:val="22"/>
        </w:rPr>
      </w:pPr>
      <w:r w:rsidRPr="00280CF8">
        <w:rPr>
          <w:rFonts w:eastAsia="ArialMT" w:cs="ArialMT"/>
          <w:b/>
          <w:szCs w:val="22"/>
        </w:rPr>
        <w:t>Primer.</w:t>
      </w:r>
      <w:r w:rsidRPr="00280CF8">
        <w:rPr>
          <w:rFonts w:eastAsia="ArialMT" w:cs="ArialMT"/>
          <w:szCs w:val="22"/>
        </w:rPr>
        <w:t>-Aprovar el calendari laboral corresponent a l’any 201</w:t>
      </w:r>
      <w:r w:rsidR="00934F0C">
        <w:rPr>
          <w:rFonts w:eastAsia="ArialMT" w:cs="ArialMT"/>
          <w:szCs w:val="22"/>
        </w:rPr>
        <w:t>9</w:t>
      </w:r>
      <w:r w:rsidRPr="00280CF8">
        <w:rPr>
          <w:rFonts w:eastAsia="ArialMT" w:cs="ArialMT"/>
          <w:szCs w:val="22"/>
        </w:rPr>
        <w:t xml:space="preserve"> en els termes que es detallen tot seguit:</w:t>
      </w:r>
    </w:p>
    <w:p w:rsidR="00280CF8" w:rsidRPr="00280CF8" w:rsidRDefault="00280CF8" w:rsidP="00280CF8">
      <w:pPr>
        <w:tabs>
          <w:tab w:val="left" w:pos="708"/>
        </w:tabs>
        <w:spacing w:line="240" w:lineRule="atLeast"/>
        <w:rPr>
          <w:rFonts w:eastAsia="ArialMT" w:cs="ArialMT"/>
          <w:szCs w:val="22"/>
        </w:rPr>
      </w:pPr>
    </w:p>
    <w:p w:rsidR="00280CF8" w:rsidRPr="00280CF8" w:rsidRDefault="00280CF8" w:rsidP="00280CF8">
      <w:pPr>
        <w:tabs>
          <w:tab w:val="left" w:pos="708"/>
        </w:tabs>
        <w:spacing w:line="240" w:lineRule="atLeast"/>
        <w:rPr>
          <w:rFonts w:eastAsia="ArialMT" w:cs="ArialMT"/>
          <w:szCs w:val="22"/>
        </w:rPr>
      </w:pPr>
      <w:r w:rsidRPr="00280CF8">
        <w:rPr>
          <w:rFonts w:eastAsia="ArialMT" w:cs="ArialMT"/>
          <w:szCs w:val="22"/>
        </w:rPr>
        <w:t>El còmput anual d’hores pel 201</w:t>
      </w:r>
      <w:r w:rsidR="00934F0C">
        <w:rPr>
          <w:rFonts w:eastAsia="ArialMT" w:cs="ArialMT"/>
          <w:szCs w:val="22"/>
        </w:rPr>
        <w:t>9</w:t>
      </w:r>
      <w:r w:rsidRPr="00280CF8">
        <w:rPr>
          <w:rFonts w:eastAsia="ArialMT" w:cs="ArialMT"/>
          <w:szCs w:val="22"/>
        </w:rPr>
        <w:t>, queda fixat en 219 dies laborables, equivalents a 1642h anuals. Sempre tenint present que si l’Estat modifica el còmput anual aquest serà el que prevaldrà.</w:t>
      </w:r>
    </w:p>
    <w:p w:rsidR="00280CF8" w:rsidRPr="00280CF8" w:rsidRDefault="00280CF8" w:rsidP="00280CF8">
      <w:pPr>
        <w:tabs>
          <w:tab w:val="left" w:pos="708"/>
        </w:tabs>
        <w:spacing w:line="240" w:lineRule="atLeast"/>
        <w:rPr>
          <w:rFonts w:eastAsia="ArialMT" w:cs="ArialMT"/>
          <w:szCs w:val="22"/>
        </w:rPr>
      </w:pPr>
      <w:r w:rsidRPr="00280CF8">
        <w:rPr>
          <w:rFonts w:eastAsia="ArialMT" w:cs="ArialMT"/>
          <w:szCs w:val="22"/>
        </w:rPr>
        <w:tab/>
      </w:r>
    </w:p>
    <w:p w:rsidR="00280CF8" w:rsidRPr="00280CF8" w:rsidRDefault="00280CF8" w:rsidP="00280CF8">
      <w:pPr>
        <w:tabs>
          <w:tab w:val="left" w:pos="708"/>
        </w:tabs>
        <w:spacing w:line="240" w:lineRule="atLeast"/>
        <w:rPr>
          <w:szCs w:val="22"/>
        </w:rPr>
      </w:pPr>
      <w:r w:rsidRPr="00280CF8">
        <w:rPr>
          <w:szCs w:val="22"/>
        </w:rPr>
        <w:t>Realitzat el càlcul general del còmput anual de jornada per l’any 201</w:t>
      </w:r>
      <w:r w:rsidR="00934F0C">
        <w:rPr>
          <w:szCs w:val="22"/>
        </w:rPr>
        <w:t>9</w:t>
      </w:r>
      <w:r w:rsidRPr="00280CF8">
        <w:rPr>
          <w:szCs w:val="22"/>
        </w:rPr>
        <w:t>, tal com s’indica en els fonaments jurídics,  s’obté el resultat següent:</w:t>
      </w:r>
    </w:p>
    <w:p w:rsidR="00280CF8" w:rsidRPr="00280CF8" w:rsidRDefault="00280CF8" w:rsidP="00280CF8">
      <w:pPr>
        <w:tabs>
          <w:tab w:val="left" w:pos="708"/>
        </w:tabs>
        <w:spacing w:line="240" w:lineRule="atLeast"/>
        <w:rPr>
          <w:szCs w:val="22"/>
        </w:rPr>
      </w:pPr>
    </w:p>
    <w:tbl>
      <w:tblPr>
        <w:tblW w:w="8000" w:type="dxa"/>
        <w:tblInd w:w="80" w:type="dxa"/>
        <w:tblCellMar>
          <w:left w:w="70" w:type="dxa"/>
          <w:right w:w="70" w:type="dxa"/>
        </w:tblCellMar>
        <w:tblLook w:val="04A0"/>
      </w:tblPr>
      <w:tblGrid>
        <w:gridCol w:w="5600"/>
        <w:gridCol w:w="1200"/>
        <w:gridCol w:w="1200"/>
      </w:tblGrid>
      <w:tr w:rsidR="00280CF8" w:rsidRPr="00280CF8" w:rsidTr="00280CF8">
        <w:trPr>
          <w:trHeight w:val="510"/>
        </w:trPr>
        <w:tc>
          <w:tcPr>
            <w:tcW w:w="8000" w:type="dxa"/>
            <w:gridSpan w:val="3"/>
            <w:tcBorders>
              <w:top w:val="single" w:sz="4" w:space="0" w:color="auto"/>
              <w:left w:val="single" w:sz="4" w:space="0" w:color="auto"/>
              <w:bottom w:val="single" w:sz="8" w:space="0" w:color="auto"/>
              <w:right w:val="single" w:sz="4" w:space="0" w:color="auto"/>
            </w:tcBorders>
            <w:shd w:val="clear" w:color="auto" w:fill="C6D9F1"/>
            <w:vAlign w:val="center"/>
            <w:hideMark/>
          </w:tcPr>
          <w:p w:rsidR="00280CF8" w:rsidRPr="00280CF8" w:rsidRDefault="00934F0C">
            <w:pPr>
              <w:rPr>
                <w:rFonts w:cs="Times New Roman"/>
                <w:b/>
                <w:bCs/>
                <w:color w:val="000000"/>
                <w:sz w:val="20"/>
                <w:szCs w:val="20"/>
              </w:rPr>
            </w:pPr>
            <w:r>
              <w:rPr>
                <w:rFonts w:cs="Times New Roman"/>
                <w:b/>
                <w:bCs/>
                <w:color w:val="000000"/>
                <w:sz w:val="20"/>
                <w:szCs w:val="20"/>
              </w:rPr>
              <w:t>CÀLCUL CALENDARI ANY 2019</w:t>
            </w:r>
          </w:p>
        </w:tc>
      </w:tr>
      <w:tr w:rsidR="00280CF8" w:rsidRPr="00280CF8" w:rsidTr="00280CF8">
        <w:trPr>
          <w:trHeight w:val="810"/>
        </w:trPr>
        <w:tc>
          <w:tcPr>
            <w:tcW w:w="5600" w:type="dxa"/>
            <w:tcBorders>
              <w:top w:val="nil"/>
              <w:left w:val="single" w:sz="4" w:space="0" w:color="auto"/>
              <w:bottom w:val="single" w:sz="8" w:space="0" w:color="auto"/>
              <w:right w:val="single" w:sz="8" w:space="0" w:color="auto"/>
            </w:tcBorders>
            <w:shd w:val="clear" w:color="auto" w:fill="C6D9F1"/>
            <w:vAlign w:val="center"/>
            <w:hideMark/>
          </w:tcPr>
          <w:p w:rsidR="00280CF8" w:rsidRPr="00280CF8" w:rsidRDefault="00280CF8" w:rsidP="00F42AA1">
            <w:pPr>
              <w:rPr>
                <w:rFonts w:cs="Times New Roman"/>
                <w:b/>
                <w:bCs/>
                <w:color w:val="000000"/>
                <w:sz w:val="20"/>
                <w:szCs w:val="20"/>
              </w:rPr>
            </w:pPr>
            <w:r w:rsidRPr="00280CF8">
              <w:rPr>
                <w:rFonts w:cs="Times New Roman"/>
                <w:b/>
                <w:bCs/>
                <w:color w:val="000000"/>
                <w:sz w:val="20"/>
                <w:szCs w:val="20"/>
              </w:rPr>
              <w:t>JORNADA EMPLEATS AJUNTAMENT DE TÀRREGA I OOAA-ANY 201</w:t>
            </w:r>
            <w:r w:rsidR="00F42AA1">
              <w:rPr>
                <w:rFonts w:cs="Times New Roman"/>
                <w:b/>
                <w:bCs/>
                <w:color w:val="000000"/>
                <w:sz w:val="20"/>
                <w:szCs w:val="20"/>
              </w:rPr>
              <w:t>9</w:t>
            </w:r>
          </w:p>
        </w:tc>
        <w:tc>
          <w:tcPr>
            <w:tcW w:w="1200" w:type="dxa"/>
            <w:tcBorders>
              <w:top w:val="nil"/>
              <w:left w:val="nil"/>
              <w:bottom w:val="single" w:sz="8" w:space="0" w:color="auto"/>
              <w:right w:val="single" w:sz="8" w:space="0" w:color="auto"/>
            </w:tcBorders>
            <w:shd w:val="clear" w:color="auto" w:fill="C6D9F1"/>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DIES</w:t>
            </w:r>
          </w:p>
        </w:tc>
        <w:tc>
          <w:tcPr>
            <w:tcW w:w="1200" w:type="dxa"/>
            <w:tcBorders>
              <w:top w:val="nil"/>
              <w:left w:val="nil"/>
              <w:bottom w:val="single" w:sz="8" w:space="0" w:color="auto"/>
              <w:right w:val="single" w:sz="4" w:space="0" w:color="auto"/>
            </w:tcBorders>
            <w:shd w:val="clear" w:color="auto" w:fill="C6D9F1"/>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HORES</w:t>
            </w:r>
          </w:p>
        </w:tc>
      </w:tr>
      <w:tr w:rsidR="00280CF8" w:rsidRPr="00280CF8" w:rsidTr="00280CF8">
        <w:trPr>
          <w:trHeight w:val="525"/>
        </w:trPr>
        <w:tc>
          <w:tcPr>
            <w:tcW w:w="5600" w:type="dxa"/>
            <w:tcBorders>
              <w:top w:val="nil"/>
              <w:left w:val="single" w:sz="4" w:space="0" w:color="auto"/>
              <w:bottom w:val="single" w:sz="8" w:space="0" w:color="auto"/>
              <w:right w:val="single" w:sz="8" w:space="0" w:color="auto"/>
            </w:tcBorders>
            <w:vAlign w:val="center"/>
            <w:hideMark/>
          </w:tcPr>
          <w:p w:rsidR="00280CF8" w:rsidRPr="00280CF8" w:rsidRDefault="00280CF8">
            <w:pPr>
              <w:rPr>
                <w:rFonts w:cs="Times New Roman"/>
                <w:b/>
                <w:bCs/>
                <w:color w:val="000000"/>
                <w:sz w:val="20"/>
                <w:szCs w:val="20"/>
              </w:rPr>
            </w:pPr>
            <w:r w:rsidRPr="00280CF8">
              <w:rPr>
                <w:rFonts w:cs="Times New Roman"/>
                <w:b/>
                <w:bCs/>
                <w:color w:val="000000"/>
                <w:sz w:val="20"/>
                <w:szCs w:val="20"/>
              </w:rPr>
              <w:t>DIES NATURALS</w:t>
            </w:r>
          </w:p>
        </w:tc>
        <w:tc>
          <w:tcPr>
            <w:tcW w:w="1200" w:type="dxa"/>
            <w:tcBorders>
              <w:top w:val="nil"/>
              <w:left w:val="nil"/>
              <w:bottom w:val="single" w:sz="8" w:space="0" w:color="auto"/>
              <w:right w:val="single" w:sz="8" w:space="0" w:color="auto"/>
            </w:tcBorders>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365</w:t>
            </w:r>
          </w:p>
        </w:tc>
        <w:tc>
          <w:tcPr>
            <w:tcW w:w="1200" w:type="dxa"/>
            <w:tcBorders>
              <w:top w:val="nil"/>
              <w:left w:val="nil"/>
              <w:bottom w:val="single" w:sz="8" w:space="0" w:color="auto"/>
              <w:right w:val="single" w:sz="4" w:space="0" w:color="auto"/>
            </w:tcBorders>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 </w:t>
            </w:r>
          </w:p>
        </w:tc>
      </w:tr>
      <w:tr w:rsidR="00280CF8" w:rsidRPr="00280CF8" w:rsidTr="00280CF8">
        <w:trPr>
          <w:trHeight w:val="780"/>
        </w:trPr>
        <w:tc>
          <w:tcPr>
            <w:tcW w:w="5600" w:type="dxa"/>
            <w:tcBorders>
              <w:top w:val="nil"/>
              <w:left w:val="single" w:sz="4" w:space="0" w:color="auto"/>
              <w:bottom w:val="single" w:sz="8" w:space="0" w:color="auto"/>
              <w:right w:val="single" w:sz="8" w:space="0" w:color="auto"/>
            </w:tcBorders>
            <w:shd w:val="clear" w:color="auto" w:fill="D9D9D9"/>
            <w:vAlign w:val="center"/>
            <w:hideMark/>
          </w:tcPr>
          <w:p w:rsidR="00280CF8" w:rsidRPr="00280CF8" w:rsidRDefault="00280CF8">
            <w:pPr>
              <w:rPr>
                <w:rFonts w:cs="Times New Roman"/>
                <w:b/>
                <w:bCs/>
                <w:color w:val="000000"/>
                <w:sz w:val="20"/>
                <w:szCs w:val="20"/>
              </w:rPr>
            </w:pPr>
            <w:r w:rsidRPr="00280CF8">
              <w:rPr>
                <w:rFonts w:cs="Times New Roman"/>
                <w:b/>
                <w:bCs/>
                <w:color w:val="000000"/>
                <w:sz w:val="20"/>
                <w:szCs w:val="20"/>
              </w:rPr>
              <w:t>A DESCOMPTAR</w:t>
            </w:r>
          </w:p>
        </w:tc>
        <w:tc>
          <w:tcPr>
            <w:tcW w:w="1200" w:type="dxa"/>
            <w:tcBorders>
              <w:top w:val="nil"/>
              <w:left w:val="nil"/>
              <w:bottom w:val="single" w:sz="8" w:space="0" w:color="auto"/>
              <w:right w:val="single" w:sz="8" w:space="0" w:color="auto"/>
            </w:tcBorders>
            <w:shd w:val="clear" w:color="auto" w:fill="D9D9D9"/>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DIES</w:t>
            </w:r>
          </w:p>
        </w:tc>
        <w:tc>
          <w:tcPr>
            <w:tcW w:w="1200" w:type="dxa"/>
            <w:tcBorders>
              <w:top w:val="nil"/>
              <w:left w:val="nil"/>
              <w:bottom w:val="single" w:sz="8" w:space="0" w:color="auto"/>
              <w:right w:val="single" w:sz="4" w:space="0" w:color="auto"/>
            </w:tcBorders>
            <w:shd w:val="clear" w:color="auto" w:fill="D9D9D9"/>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HORES</w:t>
            </w:r>
          </w:p>
        </w:tc>
      </w:tr>
      <w:tr w:rsidR="00280CF8" w:rsidRPr="00280CF8" w:rsidTr="00280CF8">
        <w:trPr>
          <w:trHeight w:val="585"/>
        </w:trPr>
        <w:tc>
          <w:tcPr>
            <w:tcW w:w="5600" w:type="dxa"/>
            <w:tcBorders>
              <w:top w:val="nil"/>
              <w:left w:val="single" w:sz="4" w:space="0" w:color="auto"/>
              <w:bottom w:val="single" w:sz="4" w:space="0" w:color="auto"/>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DIES FESTIUS ESTATALS I AUTONÒMICS</w:t>
            </w:r>
          </w:p>
        </w:tc>
        <w:tc>
          <w:tcPr>
            <w:tcW w:w="1200" w:type="dxa"/>
            <w:tcBorders>
              <w:top w:val="nil"/>
              <w:left w:val="nil"/>
              <w:bottom w:val="single" w:sz="4" w:space="0" w:color="auto"/>
              <w:right w:val="single" w:sz="4" w:space="0" w:color="auto"/>
            </w:tcBorders>
            <w:vAlign w:val="center"/>
            <w:hideMark/>
          </w:tcPr>
          <w:p w:rsidR="00280CF8" w:rsidRPr="00F42AA1" w:rsidRDefault="00280CF8" w:rsidP="00F42AA1">
            <w:pPr>
              <w:jc w:val="center"/>
              <w:rPr>
                <w:rFonts w:cs="Times New Roman"/>
                <w:color w:val="000000"/>
                <w:sz w:val="20"/>
                <w:szCs w:val="20"/>
              </w:rPr>
            </w:pPr>
            <w:r w:rsidRPr="00F42AA1">
              <w:rPr>
                <w:rFonts w:cs="Times New Roman"/>
                <w:color w:val="000000"/>
                <w:sz w:val="20"/>
                <w:szCs w:val="20"/>
              </w:rPr>
              <w:t>-1</w:t>
            </w:r>
            <w:r w:rsidR="00F42AA1" w:rsidRPr="00F42AA1">
              <w:rPr>
                <w:rFonts w:cs="Times New Roman"/>
                <w:color w:val="000000"/>
                <w:sz w:val="20"/>
                <w:szCs w:val="20"/>
              </w:rPr>
              <w:t>2</w:t>
            </w:r>
          </w:p>
        </w:tc>
        <w:tc>
          <w:tcPr>
            <w:tcW w:w="1200" w:type="dxa"/>
            <w:tcBorders>
              <w:top w:val="nil"/>
              <w:left w:val="nil"/>
              <w:bottom w:val="single" w:sz="4" w:space="0" w:color="auto"/>
              <w:right w:val="single" w:sz="4" w:space="0" w:color="auto"/>
            </w:tcBorders>
            <w:vAlign w:val="center"/>
            <w:hideMark/>
          </w:tcPr>
          <w:p w:rsidR="00280CF8" w:rsidRPr="00F42AA1" w:rsidRDefault="00280CF8" w:rsidP="00F42AA1">
            <w:pPr>
              <w:jc w:val="center"/>
              <w:rPr>
                <w:rFonts w:cs="Times New Roman"/>
                <w:color w:val="000000"/>
                <w:sz w:val="20"/>
                <w:szCs w:val="20"/>
              </w:rPr>
            </w:pPr>
            <w:r w:rsidRPr="00F42AA1">
              <w:rPr>
                <w:rFonts w:cs="Times New Roman"/>
                <w:color w:val="000000"/>
                <w:sz w:val="20"/>
                <w:szCs w:val="20"/>
              </w:rPr>
              <w:t>-9</w:t>
            </w:r>
            <w:r w:rsidR="00F42AA1" w:rsidRPr="00F42AA1">
              <w:rPr>
                <w:rFonts w:cs="Times New Roman"/>
                <w:color w:val="000000"/>
                <w:sz w:val="20"/>
                <w:szCs w:val="20"/>
              </w:rPr>
              <w:t>0</w:t>
            </w:r>
          </w:p>
        </w:tc>
      </w:tr>
      <w:tr w:rsidR="00280CF8" w:rsidRPr="00280CF8" w:rsidTr="00280CF8">
        <w:trPr>
          <w:trHeight w:val="300"/>
        </w:trPr>
        <w:tc>
          <w:tcPr>
            <w:tcW w:w="5600" w:type="dxa"/>
            <w:tcBorders>
              <w:top w:val="nil"/>
              <w:left w:val="single" w:sz="4" w:space="0" w:color="auto"/>
              <w:bottom w:val="single" w:sz="4" w:space="0" w:color="auto"/>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DISSABTES</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-52</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-390</w:t>
            </w:r>
          </w:p>
        </w:tc>
      </w:tr>
      <w:tr w:rsidR="00280CF8" w:rsidRPr="00280CF8" w:rsidTr="00280CF8">
        <w:trPr>
          <w:trHeight w:val="300"/>
        </w:trPr>
        <w:tc>
          <w:tcPr>
            <w:tcW w:w="5600" w:type="dxa"/>
            <w:tcBorders>
              <w:top w:val="nil"/>
              <w:left w:val="single" w:sz="4" w:space="0" w:color="auto"/>
              <w:bottom w:val="single" w:sz="4" w:space="0" w:color="auto"/>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DIUMENGES</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-52</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-390</w:t>
            </w:r>
          </w:p>
        </w:tc>
      </w:tr>
      <w:tr w:rsidR="00280CF8" w:rsidRPr="00280CF8" w:rsidTr="00280CF8">
        <w:trPr>
          <w:trHeight w:val="540"/>
        </w:trPr>
        <w:tc>
          <w:tcPr>
            <w:tcW w:w="5600" w:type="dxa"/>
            <w:tcBorders>
              <w:top w:val="nil"/>
              <w:left w:val="single" w:sz="4" w:space="0" w:color="auto"/>
              <w:bottom w:val="single" w:sz="4" w:space="0" w:color="auto"/>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FESTES LOCALS</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-2</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-15</w:t>
            </w:r>
          </w:p>
        </w:tc>
      </w:tr>
      <w:tr w:rsidR="00280CF8" w:rsidRPr="00280CF8" w:rsidTr="00280CF8">
        <w:trPr>
          <w:trHeight w:val="540"/>
        </w:trPr>
        <w:tc>
          <w:tcPr>
            <w:tcW w:w="5600" w:type="dxa"/>
            <w:tcBorders>
              <w:top w:val="nil"/>
              <w:left w:val="single" w:sz="4" w:space="0" w:color="auto"/>
              <w:bottom w:val="single" w:sz="4" w:space="0" w:color="auto"/>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DIES DE VACANCES</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-22</w:t>
            </w:r>
          </w:p>
        </w:tc>
        <w:tc>
          <w:tcPr>
            <w:tcW w:w="1200" w:type="dxa"/>
            <w:tcBorders>
              <w:top w:val="nil"/>
              <w:left w:val="nil"/>
              <w:bottom w:val="single" w:sz="4" w:space="0" w:color="auto"/>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-165</w:t>
            </w:r>
          </w:p>
        </w:tc>
      </w:tr>
      <w:tr w:rsidR="00280CF8" w:rsidRPr="00280CF8" w:rsidTr="00280CF8">
        <w:trPr>
          <w:trHeight w:val="435"/>
        </w:trPr>
        <w:tc>
          <w:tcPr>
            <w:tcW w:w="5600" w:type="dxa"/>
            <w:tcBorders>
              <w:top w:val="nil"/>
              <w:left w:val="single" w:sz="4" w:space="0" w:color="auto"/>
              <w:bottom w:val="nil"/>
              <w:right w:val="single" w:sz="4" w:space="0" w:color="auto"/>
            </w:tcBorders>
            <w:vAlign w:val="center"/>
            <w:hideMark/>
          </w:tcPr>
          <w:p w:rsidR="00280CF8" w:rsidRPr="00F42AA1" w:rsidRDefault="00280CF8">
            <w:pPr>
              <w:rPr>
                <w:rFonts w:cs="Times New Roman"/>
                <w:color w:val="000000"/>
                <w:sz w:val="20"/>
                <w:szCs w:val="20"/>
              </w:rPr>
            </w:pPr>
            <w:r w:rsidRPr="00F42AA1">
              <w:rPr>
                <w:rFonts w:cs="Times New Roman"/>
                <w:color w:val="000000"/>
                <w:sz w:val="20"/>
                <w:szCs w:val="20"/>
              </w:rPr>
              <w:t>DIES D’ASSUMPTES PARTICULARS</w:t>
            </w:r>
          </w:p>
        </w:tc>
        <w:tc>
          <w:tcPr>
            <w:tcW w:w="1200" w:type="dxa"/>
            <w:tcBorders>
              <w:top w:val="nil"/>
              <w:left w:val="nil"/>
              <w:bottom w:val="nil"/>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-6</w:t>
            </w:r>
          </w:p>
        </w:tc>
        <w:tc>
          <w:tcPr>
            <w:tcW w:w="1200" w:type="dxa"/>
            <w:tcBorders>
              <w:top w:val="nil"/>
              <w:left w:val="nil"/>
              <w:bottom w:val="nil"/>
              <w:right w:val="single" w:sz="4" w:space="0" w:color="auto"/>
            </w:tcBorders>
            <w:vAlign w:val="center"/>
            <w:hideMark/>
          </w:tcPr>
          <w:p w:rsidR="00280CF8" w:rsidRPr="00F42AA1" w:rsidRDefault="00280CF8">
            <w:pPr>
              <w:jc w:val="center"/>
              <w:rPr>
                <w:rFonts w:cs="Times New Roman"/>
                <w:color w:val="000000"/>
                <w:sz w:val="20"/>
                <w:szCs w:val="20"/>
              </w:rPr>
            </w:pPr>
            <w:r w:rsidRPr="00F42AA1">
              <w:rPr>
                <w:rFonts w:cs="Times New Roman"/>
                <w:color w:val="000000"/>
                <w:sz w:val="20"/>
                <w:szCs w:val="20"/>
              </w:rPr>
              <w:t>-45</w:t>
            </w:r>
          </w:p>
        </w:tc>
      </w:tr>
      <w:tr w:rsidR="00280CF8" w:rsidRPr="00280CF8" w:rsidTr="00280CF8">
        <w:trPr>
          <w:trHeight w:val="690"/>
        </w:trPr>
        <w:tc>
          <w:tcPr>
            <w:tcW w:w="5600"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280CF8" w:rsidRPr="00280CF8" w:rsidRDefault="00280CF8">
            <w:pPr>
              <w:rPr>
                <w:rFonts w:cs="Times New Roman"/>
                <w:b/>
                <w:bCs/>
                <w:color w:val="000000"/>
                <w:sz w:val="20"/>
                <w:szCs w:val="20"/>
              </w:rPr>
            </w:pPr>
            <w:r w:rsidRPr="00280CF8">
              <w:rPr>
                <w:rFonts w:cs="Times New Roman"/>
                <w:b/>
                <w:bCs/>
                <w:color w:val="000000"/>
                <w:sz w:val="20"/>
                <w:szCs w:val="20"/>
              </w:rPr>
              <w:t>TOTAL A DESCOMPTAR</w:t>
            </w:r>
          </w:p>
        </w:tc>
        <w:tc>
          <w:tcPr>
            <w:tcW w:w="1200" w:type="dxa"/>
            <w:tcBorders>
              <w:top w:val="single" w:sz="8" w:space="0" w:color="auto"/>
              <w:left w:val="nil"/>
              <w:bottom w:val="single" w:sz="8" w:space="0" w:color="auto"/>
              <w:right w:val="single" w:sz="8" w:space="0" w:color="auto"/>
            </w:tcBorders>
            <w:shd w:val="clear" w:color="auto" w:fill="D9D9D9"/>
            <w:vAlign w:val="center"/>
            <w:hideMark/>
          </w:tcPr>
          <w:p w:rsidR="00280CF8" w:rsidRPr="00280CF8" w:rsidRDefault="00280CF8" w:rsidP="00F42AA1">
            <w:pPr>
              <w:jc w:val="center"/>
              <w:rPr>
                <w:rFonts w:cs="Times New Roman"/>
                <w:b/>
                <w:bCs/>
                <w:color w:val="000000"/>
                <w:sz w:val="20"/>
                <w:szCs w:val="20"/>
              </w:rPr>
            </w:pPr>
            <w:r w:rsidRPr="00280CF8">
              <w:rPr>
                <w:rFonts w:cs="Times New Roman"/>
                <w:b/>
                <w:bCs/>
                <w:color w:val="000000"/>
                <w:sz w:val="20"/>
                <w:szCs w:val="20"/>
              </w:rPr>
              <w:t>-14</w:t>
            </w:r>
            <w:r w:rsidR="00F42AA1">
              <w:rPr>
                <w:rFonts w:cs="Times New Roman"/>
                <w:b/>
                <w:bCs/>
                <w:color w:val="000000"/>
                <w:sz w:val="20"/>
                <w:szCs w:val="20"/>
              </w:rPr>
              <w:t>6</w:t>
            </w:r>
          </w:p>
        </w:tc>
        <w:tc>
          <w:tcPr>
            <w:tcW w:w="1200" w:type="dxa"/>
            <w:tcBorders>
              <w:top w:val="single" w:sz="8" w:space="0" w:color="auto"/>
              <w:left w:val="nil"/>
              <w:bottom w:val="single" w:sz="8" w:space="0" w:color="auto"/>
              <w:right w:val="single" w:sz="4" w:space="0" w:color="auto"/>
            </w:tcBorders>
            <w:shd w:val="clear" w:color="auto" w:fill="D9D9D9"/>
            <w:vAlign w:val="center"/>
            <w:hideMark/>
          </w:tcPr>
          <w:p w:rsidR="00280CF8" w:rsidRPr="00280CF8" w:rsidRDefault="00F42AA1" w:rsidP="00F42AA1">
            <w:pPr>
              <w:jc w:val="center"/>
              <w:rPr>
                <w:rFonts w:cs="Times New Roman"/>
                <w:b/>
                <w:bCs/>
                <w:color w:val="000000"/>
                <w:sz w:val="20"/>
                <w:szCs w:val="20"/>
              </w:rPr>
            </w:pPr>
            <w:r>
              <w:rPr>
                <w:rFonts w:cs="Times New Roman"/>
                <w:b/>
                <w:bCs/>
                <w:color w:val="000000"/>
                <w:sz w:val="20"/>
                <w:szCs w:val="20"/>
              </w:rPr>
              <w:t>-1095</w:t>
            </w:r>
          </w:p>
        </w:tc>
      </w:tr>
      <w:tr w:rsidR="00280CF8" w:rsidRPr="00280CF8" w:rsidTr="00280CF8">
        <w:trPr>
          <w:trHeight w:val="900"/>
        </w:trPr>
        <w:tc>
          <w:tcPr>
            <w:tcW w:w="5600" w:type="dxa"/>
            <w:tcBorders>
              <w:top w:val="nil"/>
              <w:left w:val="single" w:sz="4" w:space="0" w:color="auto"/>
              <w:bottom w:val="single" w:sz="4" w:space="0" w:color="auto"/>
              <w:right w:val="single" w:sz="8" w:space="0" w:color="auto"/>
            </w:tcBorders>
            <w:shd w:val="clear" w:color="auto" w:fill="C6D9F1"/>
            <w:vAlign w:val="center"/>
            <w:hideMark/>
          </w:tcPr>
          <w:p w:rsidR="00280CF8" w:rsidRPr="00280CF8" w:rsidRDefault="00280CF8" w:rsidP="00F42AA1">
            <w:pPr>
              <w:rPr>
                <w:rFonts w:cs="Times New Roman"/>
                <w:b/>
                <w:bCs/>
                <w:color w:val="000000"/>
                <w:sz w:val="20"/>
                <w:szCs w:val="20"/>
              </w:rPr>
            </w:pPr>
            <w:r w:rsidRPr="00280CF8">
              <w:rPr>
                <w:rFonts w:cs="Times New Roman"/>
                <w:b/>
                <w:bCs/>
                <w:color w:val="000000"/>
                <w:sz w:val="20"/>
                <w:szCs w:val="20"/>
              </w:rPr>
              <w:t>TOTAL JORNADES DE TREBALL EFECTIU SEGONS CALENDARI 201</w:t>
            </w:r>
            <w:r w:rsidR="00F42AA1">
              <w:rPr>
                <w:rFonts w:cs="Times New Roman"/>
                <w:b/>
                <w:bCs/>
                <w:color w:val="000000"/>
                <w:sz w:val="20"/>
                <w:szCs w:val="20"/>
              </w:rPr>
              <w:t>9</w:t>
            </w:r>
          </w:p>
        </w:tc>
        <w:tc>
          <w:tcPr>
            <w:tcW w:w="1200" w:type="dxa"/>
            <w:tcBorders>
              <w:top w:val="nil"/>
              <w:left w:val="nil"/>
              <w:bottom w:val="single" w:sz="4" w:space="0" w:color="auto"/>
              <w:right w:val="single" w:sz="8" w:space="0" w:color="auto"/>
            </w:tcBorders>
            <w:shd w:val="clear" w:color="auto" w:fill="C6D9F1"/>
            <w:vAlign w:val="center"/>
            <w:hideMark/>
          </w:tcPr>
          <w:p w:rsidR="00280CF8" w:rsidRPr="00280CF8" w:rsidRDefault="00280CF8">
            <w:pPr>
              <w:jc w:val="center"/>
              <w:rPr>
                <w:rFonts w:cs="Times New Roman"/>
                <w:b/>
                <w:bCs/>
                <w:color w:val="000000"/>
                <w:sz w:val="20"/>
                <w:szCs w:val="20"/>
              </w:rPr>
            </w:pPr>
            <w:r w:rsidRPr="00280CF8">
              <w:rPr>
                <w:rFonts w:cs="Times New Roman"/>
                <w:b/>
                <w:bCs/>
                <w:color w:val="000000"/>
                <w:sz w:val="20"/>
                <w:szCs w:val="20"/>
              </w:rPr>
              <w:t>2</w:t>
            </w:r>
            <w:r w:rsidR="00F42AA1">
              <w:rPr>
                <w:rFonts w:cs="Times New Roman"/>
                <w:b/>
                <w:bCs/>
                <w:color w:val="000000"/>
                <w:sz w:val="20"/>
                <w:szCs w:val="20"/>
              </w:rPr>
              <w:t>19</w:t>
            </w:r>
          </w:p>
        </w:tc>
        <w:tc>
          <w:tcPr>
            <w:tcW w:w="1200" w:type="dxa"/>
            <w:tcBorders>
              <w:top w:val="nil"/>
              <w:left w:val="nil"/>
              <w:bottom w:val="single" w:sz="4" w:space="0" w:color="auto"/>
              <w:right w:val="single" w:sz="4" w:space="0" w:color="auto"/>
            </w:tcBorders>
            <w:shd w:val="clear" w:color="auto" w:fill="C6D9F1"/>
            <w:vAlign w:val="center"/>
            <w:hideMark/>
          </w:tcPr>
          <w:p w:rsidR="00280CF8" w:rsidRPr="00280CF8" w:rsidRDefault="00280CF8" w:rsidP="00F42AA1">
            <w:pPr>
              <w:jc w:val="center"/>
              <w:rPr>
                <w:rFonts w:cs="Times New Roman"/>
                <w:b/>
                <w:bCs/>
                <w:color w:val="000000"/>
                <w:sz w:val="20"/>
                <w:szCs w:val="20"/>
              </w:rPr>
            </w:pPr>
            <w:r w:rsidRPr="00280CF8">
              <w:rPr>
                <w:rFonts w:cs="Times New Roman"/>
                <w:b/>
                <w:bCs/>
                <w:color w:val="000000"/>
                <w:sz w:val="20"/>
                <w:szCs w:val="20"/>
              </w:rPr>
              <w:t>16</w:t>
            </w:r>
            <w:r w:rsidR="00F42AA1">
              <w:rPr>
                <w:rFonts w:cs="Times New Roman"/>
                <w:b/>
                <w:bCs/>
                <w:color w:val="000000"/>
                <w:sz w:val="20"/>
                <w:szCs w:val="20"/>
              </w:rPr>
              <w:t>42,5</w:t>
            </w:r>
          </w:p>
        </w:tc>
      </w:tr>
    </w:tbl>
    <w:p w:rsidR="00280CF8" w:rsidRPr="00280CF8" w:rsidRDefault="00280CF8" w:rsidP="00280CF8">
      <w:pPr>
        <w:tabs>
          <w:tab w:val="left" w:pos="708"/>
        </w:tabs>
        <w:spacing w:line="240" w:lineRule="atLeast"/>
        <w:rPr>
          <w:szCs w:val="22"/>
        </w:rPr>
      </w:pPr>
    </w:p>
    <w:p w:rsidR="00280CF8" w:rsidRPr="00280CF8" w:rsidRDefault="00280CF8" w:rsidP="00280CF8">
      <w:pPr>
        <w:tabs>
          <w:tab w:val="left" w:pos="708"/>
        </w:tabs>
        <w:spacing w:line="240" w:lineRule="atLeast"/>
        <w:rPr>
          <w:szCs w:val="22"/>
        </w:rPr>
      </w:pPr>
    </w:p>
    <w:p w:rsidR="00280CF8" w:rsidRPr="00280CF8" w:rsidRDefault="00280CF8" w:rsidP="00280CF8">
      <w:pPr>
        <w:tabs>
          <w:tab w:val="left" w:pos="708"/>
        </w:tabs>
        <w:spacing w:line="240" w:lineRule="atLeast"/>
        <w:rPr>
          <w:szCs w:val="22"/>
        </w:rPr>
      </w:pPr>
      <w:r w:rsidRPr="00F42AA1">
        <w:rPr>
          <w:szCs w:val="22"/>
        </w:rPr>
        <w:t xml:space="preserve">El resultat obtingut una vegada descomptats als 365 dies de l’any, les vacances, dies d’assumptes particulars, festius estatals i autonòmics, les festes locals i el nombre de dissabtes i diumenges, </w:t>
      </w:r>
      <w:r w:rsidR="00F42AA1" w:rsidRPr="00F42AA1">
        <w:rPr>
          <w:szCs w:val="22"/>
        </w:rPr>
        <w:t>és de 219</w:t>
      </w:r>
      <w:r w:rsidRPr="00F42AA1">
        <w:rPr>
          <w:szCs w:val="22"/>
        </w:rPr>
        <w:t xml:space="preserve"> jornades, que equivalent a 16</w:t>
      </w:r>
      <w:r w:rsidR="00F42AA1" w:rsidRPr="00F42AA1">
        <w:rPr>
          <w:szCs w:val="22"/>
        </w:rPr>
        <w:t>42,5</w:t>
      </w:r>
      <w:r w:rsidRPr="00F42AA1">
        <w:rPr>
          <w:szCs w:val="22"/>
        </w:rPr>
        <w:t xml:space="preserve"> hores de treball efectiu.</w:t>
      </w:r>
      <w:r w:rsidRPr="00280CF8">
        <w:rPr>
          <w:szCs w:val="22"/>
        </w:rPr>
        <w:t xml:space="preserve"> </w:t>
      </w:r>
    </w:p>
    <w:p w:rsidR="00280CF8" w:rsidRPr="00280CF8" w:rsidRDefault="00280CF8" w:rsidP="00280CF8">
      <w:pPr>
        <w:tabs>
          <w:tab w:val="left" w:pos="708"/>
        </w:tabs>
        <w:spacing w:line="240" w:lineRule="atLeast"/>
        <w:rPr>
          <w:szCs w:val="22"/>
        </w:rPr>
      </w:pPr>
    </w:p>
    <w:p w:rsidR="00280CF8" w:rsidRPr="00280CF8" w:rsidRDefault="00280CF8" w:rsidP="00280CF8">
      <w:pPr>
        <w:tabs>
          <w:tab w:val="left" w:pos="708"/>
        </w:tabs>
        <w:spacing w:line="240" w:lineRule="atLeast"/>
        <w:rPr>
          <w:rFonts w:cs="Times New Roman"/>
          <w:szCs w:val="22"/>
        </w:rPr>
      </w:pPr>
      <w:r w:rsidRPr="00280CF8">
        <w:rPr>
          <w:rFonts w:cs="Times New Roman"/>
          <w:b/>
          <w:szCs w:val="22"/>
        </w:rPr>
        <w:t>Segon.-</w:t>
      </w:r>
      <w:r w:rsidRPr="00280CF8">
        <w:rPr>
          <w:rFonts w:cs="Times New Roman"/>
          <w:szCs w:val="22"/>
        </w:rPr>
        <w:t xml:space="preserve"> Per altra banda, del resultat de les negociacions, s’acorda atorgar 3 dies de permís addicional en concepte d’ajust de calendari pels següents motius:</w:t>
      </w:r>
    </w:p>
    <w:p w:rsidR="00280CF8" w:rsidRPr="00F42AA1" w:rsidRDefault="00280CF8" w:rsidP="00280CF8">
      <w:pPr>
        <w:numPr>
          <w:ilvl w:val="0"/>
          <w:numId w:val="23"/>
        </w:numPr>
        <w:tabs>
          <w:tab w:val="left" w:pos="708"/>
        </w:tabs>
        <w:spacing w:line="240" w:lineRule="atLeast"/>
        <w:ind w:left="0" w:firstLine="0"/>
      </w:pPr>
      <w:r w:rsidRPr="00F42AA1">
        <w:rPr>
          <w:rFonts w:cs="Times New Roman"/>
          <w:szCs w:val="22"/>
        </w:rPr>
        <w:t>1 dia de permís</w:t>
      </w:r>
      <w:r w:rsidR="003B2317" w:rsidRPr="00F42AA1">
        <w:rPr>
          <w:rFonts w:cs="Times New Roman"/>
          <w:szCs w:val="22"/>
        </w:rPr>
        <w:t>,</w:t>
      </w:r>
      <w:r w:rsidRPr="00F42AA1">
        <w:rPr>
          <w:rFonts w:cs="Times New Roman"/>
          <w:szCs w:val="22"/>
        </w:rPr>
        <w:t xml:space="preserve"> atès que el dia </w:t>
      </w:r>
      <w:r w:rsidR="00F42AA1" w:rsidRPr="00F42AA1">
        <w:rPr>
          <w:rFonts w:cs="Times New Roman"/>
          <w:szCs w:val="22"/>
        </w:rPr>
        <w:t>12 d’octubre de 2019</w:t>
      </w:r>
      <w:r w:rsidRPr="00F42AA1">
        <w:rPr>
          <w:rFonts w:cs="Times New Roman"/>
          <w:szCs w:val="22"/>
        </w:rPr>
        <w:t xml:space="preserve"> és festiu nacional de caràcter retribuït, no recuperable i no substituïble per les comunitats autònomes, i coincideix en dissabte</w:t>
      </w:r>
      <w:r w:rsidRPr="00F42AA1">
        <w:rPr>
          <w:rFonts w:eastAsia="ArialMT" w:cs="ArialMT"/>
          <w:szCs w:val="22"/>
        </w:rPr>
        <w:t xml:space="preserve">. </w:t>
      </w:r>
    </w:p>
    <w:p w:rsidR="00280CF8" w:rsidRPr="00F42AA1" w:rsidRDefault="00280CF8" w:rsidP="00280CF8">
      <w:pPr>
        <w:numPr>
          <w:ilvl w:val="0"/>
          <w:numId w:val="23"/>
        </w:numPr>
        <w:tabs>
          <w:tab w:val="left" w:pos="708"/>
        </w:tabs>
        <w:spacing w:line="240" w:lineRule="atLeast"/>
        <w:ind w:left="0" w:firstLine="0"/>
        <w:rPr>
          <w:rFonts w:eastAsia="ArialMT" w:cs="ArialMT"/>
          <w:szCs w:val="22"/>
        </w:rPr>
      </w:pPr>
      <w:r w:rsidRPr="00F42AA1">
        <w:rPr>
          <w:rFonts w:eastAsia="ArialMT" w:cs="ArialMT"/>
          <w:szCs w:val="22"/>
        </w:rPr>
        <w:lastRenderedPageBreak/>
        <w:t>2 dies de permís</w:t>
      </w:r>
      <w:r w:rsidR="003B2317" w:rsidRPr="00F42AA1">
        <w:rPr>
          <w:rFonts w:eastAsia="ArialMT" w:cs="ArialMT"/>
          <w:szCs w:val="22"/>
        </w:rPr>
        <w:t>,</w:t>
      </w:r>
      <w:r w:rsidRPr="00F42AA1">
        <w:rPr>
          <w:rFonts w:eastAsia="ArialMT" w:cs="ArialMT"/>
          <w:szCs w:val="22"/>
        </w:rPr>
        <w:t xml:space="preserve"> atès </w:t>
      </w:r>
      <w:proofErr w:type="spellStart"/>
      <w:r w:rsidRPr="00F42AA1">
        <w:rPr>
          <w:rFonts w:eastAsia="ArialMT" w:cs="ArialMT"/>
          <w:szCs w:val="22"/>
        </w:rPr>
        <w:t>l’establert</w:t>
      </w:r>
      <w:proofErr w:type="spellEnd"/>
      <w:r w:rsidRPr="00F42AA1">
        <w:rPr>
          <w:rFonts w:eastAsia="ArialMT" w:cs="ArialMT"/>
          <w:szCs w:val="22"/>
        </w:rPr>
        <w:t xml:space="preserve"> a </w:t>
      </w:r>
      <w:r w:rsidRPr="00F42AA1">
        <w:t>l’article 9.8 de la Resolució de 28 de desembre de 2012 el qual disposa que, els dies 24 i 31 de desembre estaran tancades les oficines públiques, a excepció de determinats serveis.</w:t>
      </w:r>
    </w:p>
    <w:p w:rsidR="00280CF8" w:rsidRPr="00280CF8" w:rsidRDefault="00280CF8" w:rsidP="00280CF8">
      <w:pPr>
        <w:tabs>
          <w:tab w:val="left" w:pos="708"/>
        </w:tabs>
        <w:spacing w:line="240" w:lineRule="atLeast"/>
        <w:rPr>
          <w:szCs w:val="22"/>
        </w:rPr>
      </w:pPr>
    </w:p>
    <w:p w:rsidR="00280CF8" w:rsidRPr="00280CF8" w:rsidRDefault="00280CF8" w:rsidP="00280CF8">
      <w:pPr>
        <w:tabs>
          <w:tab w:val="left" w:pos="708"/>
        </w:tabs>
        <w:spacing w:line="240" w:lineRule="atLeast"/>
        <w:rPr>
          <w:rFonts w:eastAsia="ArialMT" w:cs="ArialMT"/>
          <w:szCs w:val="22"/>
        </w:rPr>
      </w:pPr>
      <w:r w:rsidRPr="00280CF8">
        <w:rPr>
          <w:rFonts w:eastAsia="ArialMT" w:cs="ArialMT"/>
          <w:szCs w:val="22"/>
        </w:rPr>
        <w:t xml:space="preserve">Aquests dies es podran gaudir durant l’any, en les mateixes condicions i períodes en que es gaudeixen els dies d’assumptes particulars. </w:t>
      </w:r>
    </w:p>
    <w:p w:rsidR="00280CF8" w:rsidRPr="00280CF8" w:rsidRDefault="00280CF8" w:rsidP="00280CF8">
      <w:pPr>
        <w:tabs>
          <w:tab w:val="left" w:pos="708"/>
        </w:tabs>
        <w:spacing w:line="240" w:lineRule="atLeast"/>
        <w:rPr>
          <w:rFonts w:eastAsia="ArialMT" w:cs="ArialMT"/>
          <w:szCs w:val="22"/>
        </w:rPr>
      </w:pPr>
    </w:p>
    <w:p w:rsidR="00280CF8" w:rsidRPr="00280CF8" w:rsidRDefault="00280CF8" w:rsidP="00280CF8">
      <w:pPr>
        <w:tabs>
          <w:tab w:val="left" w:pos="708"/>
        </w:tabs>
        <w:spacing w:line="240" w:lineRule="atLeast"/>
        <w:rPr>
          <w:szCs w:val="22"/>
        </w:rPr>
      </w:pPr>
      <w:r w:rsidRPr="00280CF8">
        <w:rPr>
          <w:rFonts w:cs="Times New Roman"/>
          <w:b/>
          <w:szCs w:val="22"/>
        </w:rPr>
        <w:t>Tercer.-</w:t>
      </w:r>
      <w:r w:rsidRPr="00280CF8">
        <w:rPr>
          <w:rFonts w:cs="Times New Roman"/>
          <w:szCs w:val="22"/>
        </w:rPr>
        <w:t xml:space="preserve"> Establir que del </w:t>
      </w:r>
      <w:r>
        <w:rPr>
          <w:rFonts w:cs="Times New Roman"/>
          <w:szCs w:val="22"/>
        </w:rPr>
        <w:t xml:space="preserve">dia </w:t>
      </w:r>
      <w:r w:rsidRPr="00280CF8">
        <w:rPr>
          <w:rFonts w:cs="Times New Roman"/>
          <w:szCs w:val="22"/>
        </w:rPr>
        <w:t>1 de juliol al 31 d’agost de 201</w:t>
      </w:r>
      <w:r w:rsidR="00934F0C">
        <w:rPr>
          <w:rFonts w:cs="Times New Roman"/>
          <w:szCs w:val="22"/>
        </w:rPr>
        <w:t>9</w:t>
      </w:r>
      <w:r w:rsidRPr="00280CF8">
        <w:rPr>
          <w:rFonts w:cs="Times New Roman"/>
          <w:szCs w:val="22"/>
        </w:rPr>
        <w:t xml:space="preserve">, </w:t>
      </w:r>
      <w:r w:rsidRPr="00280CF8">
        <w:rPr>
          <w:szCs w:val="22"/>
        </w:rPr>
        <w:t>hi haurà una reducció horària de la jornada d</w:t>
      </w:r>
      <w:r>
        <w:rPr>
          <w:szCs w:val="22"/>
        </w:rPr>
        <w:t>e treball de mitja hora diària, amb les següents condicions:</w:t>
      </w:r>
    </w:p>
    <w:p w:rsidR="00280CF8" w:rsidRDefault="00280CF8" w:rsidP="00280CF8">
      <w:pPr>
        <w:numPr>
          <w:ilvl w:val="0"/>
          <w:numId w:val="23"/>
        </w:numPr>
        <w:tabs>
          <w:tab w:val="left" w:pos="708"/>
        </w:tabs>
        <w:spacing w:line="240" w:lineRule="atLeast"/>
        <w:ind w:left="0" w:firstLine="0"/>
        <w:rPr>
          <w:rFonts w:cs="Times New Roman"/>
          <w:szCs w:val="22"/>
        </w:rPr>
      </w:pPr>
      <w:r>
        <w:rPr>
          <w:rFonts w:cs="Times New Roman"/>
          <w:szCs w:val="22"/>
        </w:rPr>
        <w:t>L’horari ordina</w:t>
      </w:r>
      <w:r w:rsidRPr="00280CF8">
        <w:rPr>
          <w:rFonts w:cs="Times New Roman"/>
          <w:szCs w:val="22"/>
        </w:rPr>
        <w:t>ri de treball, comportarà la prestació de servei continuat de 7 hores a realitzar dins la franja horària que va de les 7:30 a les 15:30 hores, respectant sempre la permanència obligada del personal de 9 a 14 hores, de dilluns a divendres. </w:t>
      </w:r>
    </w:p>
    <w:p w:rsidR="00280CF8" w:rsidRDefault="00280CF8" w:rsidP="00280CF8">
      <w:pPr>
        <w:numPr>
          <w:ilvl w:val="0"/>
          <w:numId w:val="23"/>
        </w:numPr>
        <w:tabs>
          <w:tab w:val="left" w:pos="708"/>
        </w:tabs>
        <w:spacing w:line="240" w:lineRule="atLeast"/>
        <w:ind w:left="0" w:firstLine="0"/>
        <w:rPr>
          <w:rFonts w:cs="Times New Roman"/>
          <w:szCs w:val="22"/>
        </w:rPr>
      </w:pPr>
      <w:r w:rsidRPr="00280CF8">
        <w:rPr>
          <w:rFonts w:cs="Times New Roman"/>
          <w:szCs w:val="22"/>
        </w:rPr>
        <w:t>Tanmateix, atès que hi ha Serveis que tenen horaris específics, cada Regidoria, adaptarà la reducció horària de mitja hora diària, a les necessitats dels serveis que es prestin. </w:t>
      </w:r>
    </w:p>
    <w:p w:rsidR="00280CF8" w:rsidRPr="00280CF8" w:rsidRDefault="00280CF8" w:rsidP="00280CF8">
      <w:pPr>
        <w:numPr>
          <w:ilvl w:val="0"/>
          <w:numId w:val="23"/>
        </w:numPr>
        <w:tabs>
          <w:tab w:val="left" w:pos="708"/>
        </w:tabs>
        <w:spacing w:line="240" w:lineRule="atLeast"/>
        <w:ind w:left="0" w:firstLine="0"/>
        <w:rPr>
          <w:rFonts w:cs="Times New Roman"/>
          <w:szCs w:val="22"/>
        </w:rPr>
      </w:pPr>
      <w:r w:rsidRPr="00280CF8">
        <w:rPr>
          <w:rFonts w:cs="Times New Roman"/>
          <w:szCs w:val="22"/>
        </w:rPr>
        <w:t>L’horari d’estiu no serà d’aplicació als següents centres de treball o Serveis: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Policia local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OAC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Servei de neteja d’edificis municipals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Fira de Teatre al carrer.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Escola Municipal de Música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Llars d’Infants Municipals </w:t>
      </w:r>
    </w:p>
    <w:p w:rsidR="00280CF8" w:rsidRPr="00280CF8" w:rsidRDefault="00280CF8" w:rsidP="00280CF8">
      <w:pPr>
        <w:tabs>
          <w:tab w:val="left" w:pos="708"/>
        </w:tabs>
        <w:spacing w:line="240" w:lineRule="atLeast"/>
        <w:rPr>
          <w:rFonts w:cs="Times New Roman"/>
          <w:szCs w:val="22"/>
        </w:rPr>
      </w:pPr>
      <w:r w:rsidRPr="00280CF8">
        <w:rPr>
          <w:rFonts w:cs="Times New Roman"/>
          <w:szCs w:val="22"/>
        </w:rPr>
        <w:t>o Pàrquing municipal</w:t>
      </w:r>
    </w:p>
    <w:p w:rsidR="00280CF8" w:rsidRPr="00280CF8" w:rsidRDefault="00280CF8" w:rsidP="00280CF8">
      <w:pPr>
        <w:tabs>
          <w:tab w:val="left" w:pos="708"/>
        </w:tabs>
        <w:spacing w:line="240" w:lineRule="atLeast"/>
        <w:rPr>
          <w:rFonts w:cs="Times New Roman"/>
          <w:szCs w:val="22"/>
        </w:rPr>
      </w:pPr>
    </w:p>
    <w:p w:rsidR="00280CF8" w:rsidRPr="00280CF8" w:rsidRDefault="00280CF8" w:rsidP="00280CF8">
      <w:pPr>
        <w:tabs>
          <w:tab w:val="left" w:pos="708"/>
        </w:tabs>
        <w:spacing w:line="240" w:lineRule="atLeast"/>
        <w:rPr>
          <w:szCs w:val="22"/>
        </w:rPr>
      </w:pPr>
      <w:r w:rsidRPr="00280CF8">
        <w:rPr>
          <w:rFonts w:cs="Times New Roman"/>
          <w:b/>
          <w:szCs w:val="22"/>
        </w:rPr>
        <w:t>Quart.-</w:t>
      </w:r>
      <w:r w:rsidRPr="00280CF8">
        <w:rPr>
          <w:rFonts w:cs="Times New Roman"/>
          <w:szCs w:val="22"/>
        </w:rPr>
        <w:t>Aquest</w:t>
      </w:r>
      <w:r>
        <w:rPr>
          <w:rFonts w:cs="Times New Roman"/>
          <w:szCs w:val="22"/>
        </w:rPr>
        <w:t>a</w:t>
      </w:r>
      <w:r w:rsidRPr="00280CF8">
        <w:rPr>
          <w:rFonts w:cs="Times New Roman"/>
          <w:szCs w:val="22"/>
        </w:rPr>
        <w:t xml:space="preserve"> acord</w:t>
      </w:r>
      <w:r>
        <w:rPr>
          <w:rFonts w:cs="Times New Roman"/>
          <w:szCs w:val="22"/>
        </w:rPr>
        <w:t>s tenen</w:t>
      </w:r>
      <w:r w:rsidRPr="00280CF8">
        <w:rPr>
          <w:rFonts w:cs="Times New Roman"/>
          <w:szCs w:val="22"/>
        </w:rPr>
        <w:t xml:space="preserve"> com a data d’efectes el dia 1 de gener de 201</w:t>
      </w:r>
      <w:r w:rsidR="00934F0C">
        <w:rPr>
          <w:rFonts w:cs="Times New Roman"/>
          <w:szCs w:val="22"/>
        </w:rPr>
        <w:t>9</w:t>
      </w:r>
      <w:r w:rsidRPr="00280CF8">
        <w:rPr>
          <w:rFonts w:cs="Times New Roman"/>
          <w:szCs w:val="22"/>
        </w:rPr>
        <w:t>.</w:t>
      </w:r>
    </w:p>
    <w:p w:rsidR="00280CF8" w:rsidRDefault="00280CF8" w:rsidP="00280CF8">
      <w:pPr>
        <w:tabs>
          <w:tab w:val="left" w:pos="708"/>
        </w:tabs>
        <w:spacing w:line="240" w:lineRule="atLeast"/>
        <w:rPr>
          <w:sz w:val="20"/>
          <w:szCs w:val="20"/>
        </w:rPr>
      </w:pPr>
    </w:p>
    <w:p w:rsidR="00280CF8" w:rsidRDefault="00280CF8" w:rsidP="00280CF8">
      <w:pPr>
        <w:tabs>
          <w:tab w:val="left" w:pos="708"/>
        </w:tabs>
        <w:rPr>
          <w:b/>
          <w:bCs/>
          <w:szCs w:val="22"/>
        </w:rPr>
      </w:pPr>
    </w:p>
    <w:p w:rsidR="00934EB1" w:rsidRPr="00280CF8" w:rsidRDefault="00B3581E" w:rsidP="00280CF8"/>
    <w:sectPr w:rsidR="00934EB1" w:rsidRPr="00280CF8" w:rsidSect="00934EB1">
      <w:headerReference w:type="default" r:id="rId7"/>
      <w:pgSz w:w="11906" w:h="16838"/>
      <w:pgMar w:top="1985"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81" w:rsidRDefault="001D7AEC">
      <w:r>
        <w:separator/>
      </w:r>
    </w:p>
  </w:endnote>
  <w:endnote w:type="continuationSeparator" w:id="0">
    <w:p w:rsidR="00A56681" w:rsidRDefault="001D7A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81" w:rsidRDefault="001D7AEC">
      <w:r>
        <w:separator/>
      </w:r>
    </w:p>
  </w:footnote>
  <w:footnote w:type="continuationSeparator" w:id="0">
    <w:p w:rsidR="00A56681" w:rsidRDefault="001D7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394" w:type="dxa"/>
      <w:tblInd w:w="5353" w:type="dxa"/>
      <w:tblBorders>
        <w:top w:val="single" w:sz="4" w:space="0" w:color="auto"/>
        <w:left w:val="single" w:sz="4" w:space="0" w:color="auto"/>
        <w:bottom w:val="single" w:sz="4" w:space="0" w:color="auto"/>
        <w:right w:val="single" w:sz="4" w:space="0" w:color="auto"/>
      </w:tblBorders>
      <w:tblLook w:val="04A0"/>
    </w:tblPr>
    <w:tblGrid>
      <w:gridCol w:w="992"/>
      <w:gridCol w:w="3402"/>
    </w:tblGrid>
    <w:tr w:rsidR="000B448E" w:rsidTr="00934EB1">
      <w:tc>
        <w:tcPr>
          <w:tcW w:w="992" w:type="dxa"/>
        </w:tcPr>
        <w:p w:rsidR="00934EB1" w:rsidRPr="00934EB1" w:rsidRDefault="00B3581E" w:rsidP="00C41931">
          <w:pPr>
            <w:pStyle w:val="Encabezado"/>
            <w:rPr>
              <w:b/>
              <w:sz w:val="14"/>
              <w:szCs w:val="14"/>
            </w:rPr>
          </w:pPr>
        </w:p>
      </w:tc>
      <w:tc>
        <w:tcPr>
          <w:tcW w:w="3402" w:type="dxa"/>
        </w:tcPr>
        <w:p w:rsidR="00934EB1" w:rsidRPr="00934EB1" w:rsidRDefault="00B3581E" w:rsidP="00934EB1">
          <w:pPr>
            <w:pStyle w:val="Encabezado"/>
            <w:jc w:val="right"/>
            <w:rPr>
              <w:sz w:val="14"/>
              <w:szCs w:val="14"/>
            </w:rPr>
          </w:pPr>
        </w:p>
      </w:tc>
    </w:tr>
    <w:tr w:rsidR="000B448E" w:rsidTr="00934EB1">
      <w:tc>
        <w:tcPr>
          <w:tcW w:w="992" w:type="dxa"/>
        </w:tcPr>
        <w:p w:rsidR="00934EB1" w:rsidRPr="00934EB1" w:rsidRDefault="00B3581E" w:rsidP="00C41931">
          <w:pPr>
            <w:pStyle w:val="Encabezado"/>
            <w:rPr>
              <w:b/>
              <w:sz w:val="14"/>
              <w:szCs w:val="14"/>
            </w:rPr>
          </w:pPr>
        </w:p>
      </w:tc>
      <w:tc>
        <w:tcPr>
          <w:tcW w:w="3402" w:type="dxa"/>
        </w:tcPr>
        <w:p w:rsidR="00934EB1" w:rsidRPr="00934EB1" w:rsidRDefault="00B3581E" w:rsidP="00934EB1">
          <w:pPr>
            <w:pStyle w:val="Encabezado"/>
            <w:jc w:val="right"/>
            <w:rPr>
              <w:sz w:val="14"/>
              <w:szCs w:val="14"/>
            </w:rPr>
          </w:pPr>
        </w:p>
      </w:tc>
    </w:tr>
    <w:tr w:rsidR="000B448E" w:rsidTr="00934EB1">
      <w:tc>
        <w:tcPr>
          <w:tcW w:w="992" w:type="dxa"/>
        </w:tcPr>
        <w:p w:rsidR="00934EB1" w:rsidRPr="00934EB1" w:rsidRDefault="00B3581E" w:rsidP="00C41931">
          <w:pPr>
            <w:pStyle w:val="Encabezado"/>
            <w:rPr>
              <w:b/>
              <w:sz w:val="14"/>
              <w:szCs w:val="14"/>
            </w:rPr>
          </w:pPr>
        </w:p>
      </w:tc>
      <w:tc>
        <w:tcPr>
          <w:tcW w:w="3402" w:type="dxa"/>
        </w:tcPr>
        <w:p w:rsidR="00934EB1" w:rsidRPr="00934EB1" w:rsidRDefault="00B3581E" w:rsidP="00C41931">
          <w:pPr>
            <w:pStyle w:val="Encabezado"/>
            <w:rPr>
              <w:sz w:val="14"/>
              <w:szCs w:val="14"/>
            </w:rPr>
          </w:pPr>
        </w:p>
      </w:tc>
    </w:tr>
  </w:tbl>
  <w:p w:rsidR="00915E50" w:rsidRPr="00934EB1" w:rsidRDefault="002505F9" w:rsidP="00934EB1">
    <w:pPr>
      <w:pStyle w:val="Encabezado"/>
      <w:rPr>
        <w:szCs w:val="20"/>
      </w:rPr>
    </w:pPr>
    <w:r w:rsidRPr="002505F9">
      <w:rPr>
        <w:noProof/>
        <w:szCs w:val="20"/>
        <w:lang w:eastAsia="ca-ES"/>
      </w:rPr>
      <w:pict>
        <v:shapetype id="_x0000_t32" coordsize="21600,21600" o:spt="32" o:oned="t" path="m,l21600,21600e" filled="f">
          <v:path arrowok="t" fillok="f" o:connecttype="none"/>
          <o:lock v:ext="edit" shapetype="t"/>
        </v:shapetype>
        <v:shape id="AutoShape 1026" o:spid="_x0000_s1026" type="#_x0000_t32" style="position:absolute;left:0;text-align:left;margin-left:0;margin-top:12.7pt;width:538.3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v2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830"/>
    <w:multiLevelType w:val="hybridMultilevel"/>
    <w:tmpl w:val="015ED7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57DE6"/>
    <w:multiLevelType w:val="hybridMultilevel"/>
    <w:tmpl w:val="015ED7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D07813"/>
    <w:multiLevelType w:val="hybridMultilevel"/>
    <w:tmpl w:val="7CC29F24"/>
    <w:lvl w:ilvl="0" w:tplc="00926024">
      <w:start w:val="1"/>
      <w:numFmt w:val="bullet"/>
      <w:lvlText w:val="-"/>
      <w:lvlJc w:val="left"/>
      <w:pPr>
        <w:tabs>
          <w:tab w:val="num" w:pos="720"/>
        </w:tabs>
        <w:ind w:left="720" w:hanging="360"/>
      </w:pPr>
      <w:rPr>
        <w:rFonts w:ascii="Arial" w:eastAsia="Times New Roman" w:hAnsi="Arial" w:hint="default"/>
      </w:rPr>
    </w:lvl>
    <w:lvl w:ilvl="1" w:tplc="E2A0D708">
      <w:start w:val="1"/>
      <w:numFmt w:val="bullet"/>
      <w:lvlText w:val="o"/>
      <w:lvlJc w:val="left"/>
      <w:pPr>
        <w:tabs>
          <w:tab w:val="num" w:pos="1440"/>
        </w:tabs>
        <w:ind w:left="1440" w:hanging="360"/>
      </w:pPr>
      <w:rPr>
        <w:rFonts w:ascii="Courier New" w:hAnsi="Courier New" w:hint="default"/>
      </w:rPr>
    </w:lvl>
    <w:lvl w:ilvl="2" w:tplc="F4F87412">
      <w:start w:val="1"/>
      <w:numFmt w:val="bullet"/>
      <w:lvlText w:val=""/>
      <w:lvlJc w:val="left"/>
      <w:pPr>
        <w:tabs>
          <w:tab w:val="num" w:pos="2160"/>
        </w:tabs>
        <w:ind w:left="2160" w:hanging="360"/>
      </w:pPr>
      <w:rPr>
        <w:rFonts w:ascii="Wingdings" w:hAnsi="Wingdings" w:hint="default"/>
      </w:rPr>
    </w:lvl>
    <w:lvl w:ilvl="3" w:tplc="7A5A493E">
      <w:start w:val="1"/>
      <w:numFmt w:val="bullet"/>
      <w:lvlText w:val=""/>
      <w:lvlJc w:val="left"/>
      <w:pPr>
        <w:tabs>
          <w:tab w:val="num" w:pos="2880"/>
        </w:tabs>
        <w:ind w:left="2880" w:hanging="360"/>
      </w:pPr>
      <w:rPr>
        <w:rFonts w:ascii="Symbol" w:hAnsi="Symbol" w:hint="default"/>
      </w:rPr>
    </w:lvl>
    <w:lvl w:ilvl="4" w:tplc="25EAE390">
      <w:start w:val="1"/>
      <w:numFmt w:val="bullet"/>
      <w:lvlText w:val="o"/>
      <w:lvlJc w:val="left"/>
      <w:pPr>
        <w:tabs>
          <w:tab w:val="num" w:pos="3600"/>
        </w:tabs>
        <w:ind w:left="3600" w:hanging="360"/>
      </w:pPr>
      <w:rPr>
        <w:rFonts w:ascii="Courier New" w:hAnsi="Courier New" w:hint="default"/>
      </w:rPr>
    </w:lvl>
    <w:lvl w:ilvl="5" w:tplc="A8B82B50">
      <w:start w:val="1"/>
      <w:numFmt w:val="bullet"/>
      <w:lvlText w:val=""/>
      <w:lvlJc w:val="left"/>
      <w:pPr>
        <w:tabs>
          <w:tab w:val="num" w:pos="4320"/>
        </w:tabs>
        <w:ind w:left="4320" w:hanging="360"/>
      </w:pPr>
      <w:rPr>
        <w:rFonts w:ascii="Wingdings" w:hAnsi="Wingdings" w:hint="default"/>
      </w:rPr>
    </w:lvl>
    <w:lvl w:ilvl="6" w:tplc="0B422B8A">
      <w:start w:val="1"/>
      <w:numFmt w:val="bullet"/>
      <w:lvlText w:val=""/>
      <w:lvlJc w:val="left"/>
      <w:pPr>
        <w:tabs>
          <w:tab w:val="num" w:pos="5040"/>
        </w:tabs>
        <w:ind w:left="5040" w:hanging="360"/>
      </w:pPr>
      <w:rPr>
        <w:rFonts w:ascii="Symbol" w:hAnsi="Symbol" w:hint="default"/>
      </w:rPr>
    </w:lvl>
    <w:lvl w:ilvl="7" w:tplc="BCAC98A8">
      <w:start w:val="1"/>
      <w:numFmt w:val="bullet"/>
      <w:lvlText w:val="o"/>
      <w:lvlJc w:val="left"/>
      <w:pPr>
        <w:tabs>
          <w:tab w:val="num" w:pos="5760"/>
        </w:tabs>
        <w:ind w:left="5760" w:hanging="360"/>
      </w:pPr>
      <w:rPr>
        <w:rFonts w:ascii="Courier New" w:hAnsi="Courier New" w:hint="default"/>
      </w:rPr>
    </w:lvl>
    <w:lvl w:ilvl="8" w:tplc="F4CE485C">
      <w:start w:val="1"/>
      <w:numFmt w:val="bullet"/>
      <w:lvlText w:val=""/>
      <w:lvlJc w:val="left"/>
      <w:pPr>
        <w:tabs>
          <w:tab w:val="num" w:pos="6480"/>
        </w:tabs>
        <w:ind w:left="6480" w:hanging="360"/>
      </w:pPr>
      <w:rPr>
        <w:rFonts w:ascii="Wingdings" w:hAnsi="Wingdings" w:hint="default"/>
      </w:rPr>
    </w:lvl>
  </w:abstractNum>
  <w:abstractNum w:abstractNumId="3">
    <w:nsid w:val="0F9E54DA"/>
    <w:multiLevelType w:val="hybridMultilevel"/>
    <w:tmpl w:val="DBBA2066"/>
    <w:lvl w:ilvl="0" w:tplc="B9DA64A6">
      <w:start w:val="1"/>
      <w:numFmt w:val="bullet"/>
      <w:lvlText w:val=""/>
      <w:lvlJc w:val="left"/>
      <w:pPr>
        <w:ind w:left="720" w:hanging="360"/>
      </w:pPr>
      <w:rPr>
        <w:rFonts w:ascii="Symbol" w:hAnsi="Symbol" w:hint="default"/>
      </w:rPr>
    </w:lvl>
    <w:lvl w:ilvl="1" w:tplc="CE4E07E4" w:tentative="1">
      <w:start w:val="1"/>
      <w:numFmt w:val="bullet"/>
      <w:lvlText w:val="o"/>
      <w:lvlJc w:val="left"/>
      <w:pPr>
        <w:ind w:left="1440" w:hanging="360"/>
      </w:pPr>
      <w:rPr>
        <w:rFonts w:ascii="Courier New" w:hAnsi="Courier New" w:hint="default"/>
      </w:rPr>
    </w:lvl>
    <w:lvl w:ilvl="2" w:tplc="07CED57A" w:tentative="1">
      <w:start w:val="1"/>
      <w:numFmt w:val="bullet"/>
      <w:lvlText w:val=""/>
      <w:lvlJc w:val="left"/>
      <w:pPr>
        <w:ind w:left="2160" w:hanging="360"/>
      </w:pPr>
      <w:rPr>
        <w:rFonts w:ascii="Wingdings" w:hAnsi="Wingdings" w:hint="default"/>
      </w:rPr>
    </w:lvl>
    <w:lvl w:ilvl="3" w:tplc="56E04336" w:tentative="1">
      <w:start w:val="1"/>
      <w:numFmt w:val="bullet"/>
      <w:lvlText w:val=""/>
      <w:lvlJc w:val="left"/>
      <w:pPr>
        <w:ind w:left="2880" w:hanging="360"/>
      </w:pPr>
      <w:rPr>
        <w:rFonts w:ascii="Symbol" w:hAnsi="Symbol" w:hint="default"/>
      </w:rPr>
    </w:lvl>
    <w:lvl w:ilvl="4" w:tplc="F1DC4FA8" w:tentative="1">
      <w:start w:val="1"/>
      <w:numFmt w:val="bullet"/>
      <w:lvlText w:val="o"/>
      <w:lvlJc w:val="left"/>
      <w:pPr>
        <w:ind w:left="3600" w:hanging="360"/>
      </w:pPr>
      <w:rPr>
        <w:rFonts w:ascii="Courier New" w:hAnsi="Courier New" w:hint="default"/>
      </w:rPr>
    </w:lvl>
    <w:lvl w:ilvl="5" w:tplc="52DAE98E" w:tentative="1">
      <w:start w:val="1"/>
      <w:numFmt w:val="bullet"/>
      <w:lvlText w:val=""/>
      <w:lvlJc w:val="left"/>
      <w:pPr>
        <w:ind w:left="4320" w:hanging="360"/>
      </w:pPr>
      <w:rPr>
        <w:rFonts w:ascii="Wingdings" w:hAnsi="Wingdings" w:hint="default"/>
      </w:rPr>
    </w:lvl>
    <w:lvl w:ilvl="6" w:tplc="84A076EC" w:tentative="1">
      <w:start w:val="1"/>
      <w:numFmt w:val="bullet"/>
      <w:lvlText w:val=""/>
      <w:lvlJc w:val="left"/>
      <w:pPr>
        <w:ind w:left="5040" w:hanging="360"/>
      </w:pPr>
      <w:rPr>
        <w:rFonts w:ascii="Symbol" w:hAnsi="Symbol" w:hint="default"/>
      </w:rPr>
    </w:lvl>
    <w:lvl w:ilvl="7" w:tplc="B8D674A0" w:tentative="1">
      <w:start w:val="1"/>
      <w:numFmt w:val="bullet"/>
      <w:lvlText w:val="o"/>
      <w:lvlJc w:val="left"/>
      <w:pPr>
        <w:ind w:left="5760" w:hanging="360"/>
      </w:pPr>
      <w:rPr>
        <w:rFonts w:ascii="Courier New" w:hAnsi="Courier New" w:hint="default"/>
      </w:rPr>
    </w:lvl>
    <w:lvl w:ilvl="8" w:tplc="B2FAC878" w:tentative="1">
      <w:start w:val="1"/>
      <w:numFmt w:val="bullet"/>
      <w:lvlText w:val=""/>
      <w:lvlJc w:val="left"/>
      <w:pPr>
        <w:ind w:left="6480" w:hanging="360"/>
      </w:pPr>
      <w:rPr>
        <w:rFonts w:ascii="Wingdings" w:hAnsi="Wingdings" w:hint="default"/>
      </w:rPr>
    </w:lvl>
  </w:abstractNum>
  <w:abstractNum w:abstractNumId="4">
    <w:nsid w:val="1B067DD2"/>
    <w:multiLevelType w:val="multilevel"/>
    <w:tmpl w:val="78D0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23136"/>
    <w:multiLevelType w:val="hybridMultilevel"/>
    <w:tmpl w:val="63869286"/>
    <w:lvl w:ilvl="0" w:tplc="02640536">
      <w:start w:val="1"/>
      <w:numFmt w:val="bullet"/>
      <w:lvlText w:val=""/>
      <w:lvlJc w:val="left"/>
      <w:pPr>
        <w:ind w:left="720" w:hanging="360"/>
      </w:pPr>
      <w:rPr>
        <w:rFonts w:ascii="Symbol" w:hAnsi="Symbol" w:hint="default"/>
      </w:rPr>
    </w:lvl>
    <w:lvl w:ilvl="1" w:tplc="2A22A38C" w:tentative="1">
      <w:start w:val="1"/>
      <w:numFmt w:val="bullet"/>
      <w:lvlText w:val="o"/>
      <w:lvlJc w:val="left"/>
      <w:pPr>
        <w:ind w:left="1440" w:hanging="360"/>
      </w:pPr>
      <w:rPr>
        <w:rFonts w:ascii="Courier New" w:hAnsi="Courier New" w:hint="default"/>
      </w:rPr>
    </w:lvl>
    <w:lvl w:ilvl="2" w:tplc="AED8369C" w:tentative="1">
      <w:start w:val="1"/>
      <w:numFmt w:val="bullet"/>
      <w:lvlText w:val=""/>
      <w:lvlJc w:val="left"/>
      <w:pPr>
        <w:ind w:left="2160" w:hanging="360"/>
      </w:pPr>
      <w:rPr>
        <w:rFonts w:ascii="Wingdings" w:hAnsi="Wingdings" w:hint="default"/>
      </w:rPr>
    </w:lvl>
    <w:lvl w:ilvl="3" w:tplc="7158B334" w:tentative="1">
      <w:start w:val="1"/>
      <w:numFmt w:val="bullet"/>
      <w:lvlText w:val=""/>
      <w:lvlJc w:val="left"/>
      <w:pPr>
        <w:ind w:left="2880" w:hanging="360"/>
      </w:pPr>
      <w:rPr>
        <w:rFonts w:ascii="Symbol" w:hAnsi="Symbol" w:hint="default"/>
      </w:rPr>
    </w:lvl>
    <w:lvl w:ilvl="4" w:tplc="56E2B370" w:tentative="1">
      <w:start w:val="1"/>
      <w:numFmt w:val="bullet"/>
      <w:lvlText w:val="o"/>
      <w:lvlJc w:val="left"/>
      <w:pPr>
        <w:ind w:left="3600" w:hanging="360"/>
      </w:pPr>
      <w:rPr>
        <w:rFonts w:ascii="Courier New" w:hAnsi="Courier New" w:hint="default"/>
      </w:rPr>
    </w:lvl>
    <w:lvl w:ilvl="5" w:tplc="7E981288" w:tentative="1">
      <w:start w:val="1"/>
      <w:numFmt w:val="bullet"/>
      <w:lvlText w:val=""/>
      <w:lvlJc w:val="left"/>
      <w:pPr>
        <w:ind w:left="4320" w:hanging="360"/>
      </w:pPr>
      <w:rPr>
        <w:rFonts w:ascii="Wingdings" w:hAnsi="Wingdings" w:hint="default"/>
      </w:rPr>
    </w:lvl>
    <w:lvl w:ilvl="6" w:tplc="5C38570A" w:tentative="1">
      <w:start w:val="1"/>
      <w:numFmt w:val="bullet"/>
      <w:lvlText w:val=""/>
      <w:lvlJc w:val="left"/>
      <w:pPr>
        <w:ind w:left="5040" w:hanging="360"/>
      </w:pPr>
      <w:rPr>
        <w:rFonts w:ascii="Symbol" w:hAnsi="Symbol" w:hint="default"/>
      </w:rPr>
    </w:lvl>
    <w:lvl w:ilvl="7" w:tplc="860C1D76" w:tentative="1">
      <w:start w:val="1"/>
      <w:numFmt w:val="bullet"/>
      <w:lvlText w:val="o"/>
      <w:lvlJc w:val="left"/>
      <w:pPr>
        <w:ind w:left="5760" w:hanging="360"/>
      </w:pPr>
      <w:rPr>
        <w:rFonts w:ascii="Courier New" w:hAnsi="Courier New" w:hint="default"/>
      </w:rPr>
    </w:lvl>
    <w:lvl w:ilvl="8" w:tplc="91EECE2A" w:tentative="1">
      <w:start w:val="1"/>
      <w:numFmt w:val="bullet"/>
      <w:lvlText w:val=""/>
      <w:lvlJc w:val="left"/>
      <w:pPr>
        <w:ind w:left="6480" w:hanging="360"/>
      </w:pPr>
      <w:rPr>
        <w:rFonts w:ascii="Wingdings" w:hAnsi="Wingdings" w:hint="default"/>
      </w:rPr>
    </w:lvl>
  </w:abstractNum>
  <w:abstractNum w:abstractNumId="6">
    <w:nsid w:val="4CAF181C"/>
    <w:multiLevelType w:val="hybridMultilevel"/>
    <w:tmpl w:val="1DE0723C"/>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7">
    <w:nsid w:val="4EFC5A3B"/>
    <w:multiLevelType w:val="hybridMultilevel"/>
    <w:tmpl w:val="489CF6A4"/>
    <w:lvl w:ilvl="0" w:tplc="71764F50">
      <w:start w:val="1"/>
      <w:numFmt w:val="decimal"/>
      <w:lvlText w:val="%1."/>
      <w:lvlJc w:val="left"/>
      <w:pPr>
        <w:tabs>
          <w:tab w:val="num" w:pos="720"/>
        </w:tabs>
        <w:ind w:left="720" w:hanging="360"/>
      </w:pPr>
      <w:rPr>
        <w:rFonts w:cs="Times New Roman" w:hint="default"/>
      </w:rPr>
    </w:lvl>
    <w:lvl w:ilvl="1" w:tplc="2BA25DC6">
      <w:start w:val="1"/>
      <w:numFmt w:val="lowerLetter"/>
      <w:lvlText w:val="%2."/>
      <w:lvlJc w:val="left"/>
      <w:pPr>
        <w:tabs>
          <w:tab w:val="num" w:pos="1440"/>
        </w:tabs>
        <w:ind w:left="1440" w:hanging="360"/>
      </w:pPr>
      <w:rPr>
        <w:rFonts w:cs="Times New Roman"/>
      </w:rPr>
    </w:lvl>
    <w:lvl w:ilvl="2" w:tplc="079C5CD2">
      <w:start w:val="1"/>
      <w:numFmt w:val="lowerRoman"/>
      <w:lvlText w:val="%3."/>
      <w:lvlJc w:val="right"/>
      <w:pPr>
        <w:tabs>
          <w:tab w:val="num" w:pos="2160"/>
        </w:tabs>
        <w:ind w:left="2160" w:hanging="180"/>
      </w:pPr>
      <w:rPr>
        <w:rFonts w:cs="Times New Roman"/>
      </w:rPr>
    </w:lvl>
    <w:lvl w:ilvl="3" w:tplc="4992E73A">
      <w:start w:val="1"/>
      <w:numFmt w:val="decimal"/>
      <w:lvlText w:val="%4."/>
      <w:lvlJc w:val="left"/>
      <w:pPr>
        <w:tabs>
          <w:tab w:val="num" w:pos="2880"/>
        </w:tabs>
        <w:ind w:left="2880" w:hanging="360"/>
      </w:pPr>
      <w:rPr>
        <w:rFonts w:cs="Times New Roman"/>
      </w:rPr>
    </w:lvl>
    <w:lvl w:ilvl="4" w:tplc="596ACFC2">
      <w:start w:val="1"/>
      <w:numFmt w:val="lowerLetter"/>
      <w:lvlText w:val="%5."/>
      <w:lvlJc w:val="left"/>
      <w:pPr>
        <w:tabs>
          <w:tab w:val="num" w:pos="3600"/>
        </w:tabs>
        <w:ind w:left="3600" w:hanging="360"/>
      </w:pPr>
      <w:rPr>
        <w:rFonts w:cs="Times New Roman"/>
      </w:rPr>
    </w:lvl>
    <w:lvl w:ilvl="5" w:tplc="F466806C">
      <w:start w:val="1"/>
      <w:numFmt w:val="lowerRoman"/>
      <w:lvlText w:val="%6."/>
      <w:lvlJc w:val="right"/>
      <w:pPr>
        <w:tabs>
          <w:tab w:val="num" w:pos="4320"/>
        </w:tabs>
        <w:ind w:left="4320" w:hanging="180"/>
      </w:pPr>
      <w:rPr>
        <w:rFonts w:cs="Times New Roman"/>
      </w:rPr>
    </w:lvl>
    <w:lvl w:ilvl="6" w:tplc="1512A50A">
      <w:start w:val="1"/>
      <w:numFmt w:val="decimal"/>
      <w:lvlText w:val="%7."/>
      <w:lvlJc w:val="left"/>
      <w:pPr>
        <w:tabs>
          <w:tab w:val="num" w:pos="5040"/>
        </w:tabs>
        <w:ind w:left="5040" w:hanging="360"/>
      </w:pPr>
      <w:rPr>
        <w:rFonts w:cs="Times New Roman"/>
      </w:rPr>
    </w:lvl>
    <w:lvl w:ilvl="7" w:tplc="134A7F2E">
      <w:start w:val="1"/>
      <w:numFmt w:val="lowerLetter"/>
      <w:lvlText w:val="%8."/>
      <w:lvlJc w:val="left"/>
      <w:pPr>
        <w:tabs>
          <w:tab w:val="num" w:pos="5760"/>
        </w:tabs>
        <w:ind w:left="5760" w:hanging="360"/>
      </w:pPr>
      <w:rPr>
        <w:rFonts w:cs="Times New Roman"/>
      </w:rPr>
    </w:lvl>
    <w:lvl w:ilvl="8" w:tplc="9B1E7200">
      <w:start w:val="1"/>
      <w:numFmt w:val="lowerRoman"/>
      <w:lvlText w:val="%9."/>
      <w:lvlJc w:val="right"/>
      <w:pPr>
        <w:tabs>
          <w:tab w:val="num" w:pos="6480"/>
        </w:tabs>
        <w:ind w:left="6480" w:hanging="180"/>
      </w:pPr>
      <w:rPr>
        <w:rFonts w:cs="Times New Roman"/>
      </w:rPr>
    </w:lvl>
  </w:abstractNum>
  <w:abstractNum w:abstractNumId="8">
    <w:nsid w:val="55D47F47"/>
    <w:multiLevelType w:val="hybridMultilevel"/>
    <w:tmpl w:val="1018CA5C"/>
    <w:lvl w:ilvl="0" w:tplc="0A4092B0">
      <w:numFmt w:val="bullet"/>
      <w:lvlText w:val="-"/>
      <w:lvlJc w:val="left"/>
      <w:pPr>
        <w:ind w:left="360" w:hanging="360"/>
      </w:pPr>
      <w:rPr>
        <w:rFonts w:ascii="Arial" w:eastAsia="Times New Roman" w:hAnsi="Arial" w:hint="default"/>
      </w:rPr>
    </w:lvl>
    <w:lvl w:ilvl="1" w:tplc="F5707400" w:tentative="1">
      <w:start w:val="1"/>
      <w:numFmt w:val="bullet"/>
      <w:lvlText w:val="o"/>
      <w:lvlJc w:val="left"/>
      <w:pPr>
        <w:ind w:left="1080" w:hanging="360"/>
      </w:pPr>
      <w:rPr>
        <w:rFonts w:ascii="Courier New" w:hAnsi="Courier New" w:hint="default"/>
      </w:rPr>
    </w:lvl>
    <w:lvl w:ilvl="2" w:tplc="BB6E13A0" w:tentative="1">
      <w:start w:val="1"/>
      <w:numFmt w:val="bullet"/>
      <w:lvlText w:val=""/>
      <w:lvlJc w:val="left"/>
      <w:pPr>
        <w:ind w:left="1800" w:hanging="360"/>
      </w:pPr>
      <w:rPr>
        <w:rFonts w:ascii="Wingdings" w:hAnsi="Wingdings" w:hint="default"/>
      </w:rPr>
    </w:lvl>
    <w:lvl w:ilvl="3" w:tplc="31026F7A" w:tentative="1">
      <w:start w:val="1"/>
      <w:numFmt w:val="bullet"/>
      <w:lvlText w:val=""/>
      <w:lvlJc w:val="left"/>
      <w:pPr>
        <w:ind w:left="2520" w:hanging="360"/>
      </w:pPr>
      <w:rPr>
        <w:rFonts w:ascii="Symbol" w:hAnsi="Symbol" w:hint="default"/>
      </w:rPr>
    </w:lvl>
    <w:lvl w:ilvl="4" w:tplc="00B462AC" w:tentative="1">
      <w:start w:val="1"/>
      <w:numFmt w:val="bullet"/>
      <w:lvlText w:val="o"/>
      <w:lvlJc w:val="left"/>
      <w:pPr>
        <w:ind w:left="3240" w:hanging="360"/>
      </w:pPr>
      <w:rPr>
        <w:rFonts w:ascii="Courier New" w:hAnsi="Courier New" w:hint="default"/>
      </w:rPr>
    </w:lvl>
    <w:lvl w:ilvl="5" w:tplc="E25CA2AE" w:tentative="1">
      <w:start w:val="1"/>
      <w:numFmt w:val="bullet"/>
      <w:lvlText w:val=""/>
      <w:lvlJc w:val="left"/>
      <w:pPr>
        <w:ind w:left="3960" w:hanging="360"/>
      </w:pPr>
      <w:rPr>
        <w:rFonts w:ascii="Wingdings" w:hAnsi="Wingdings" w:hint="default"/>
      </w:rPr>
    </w:lvl>
    <w:lvl w:ilvl="6" w:tplc="7BEC7656" w:tentative="1">
      <w:start w:val="1"/>
      <w:numFmt w:val="bullet"/>
      <w:lvlText w:val=""/>
      <w:lvlJc w:val="left"/>
      <w:pPr>
        <w:ind w:left="4680" w:hanging="360"/>
      </w:pPr>
      <w:rPr>
        <w:rFonts w:ascii="Symbol" w:hAnsi="Symbol" w:hint="default"/>
      </w:rPr>
    </w:lvl>
    <w:lvl w:ilvl="7" w:tplc="2E3AD618" w:tentative="1">
      <w:start w:val="1"/>
      <w:numFmt w:val="bullet"/>
      <w:lvlText w:val="o"/>
      <w:lvlJc w:val="left"/>
      <w:pPr>
        <w:ind w:left="5400" w:hanging="360"/>
      </w:pPr>
      <w:rPr>
        <w:rFonts w:ascii="Courier New" w:hAnsi="Courier New" w:hint="default"/>
      </w:rPr>
    </w:lvl>
    <w:lvl w:ilvl="8" w:tplc="FD38EB94" w:tentative="1">
      <w:start w:val="1"/>
      <w:numFmt w:val="bullet"/>
      <w:lvlText w:val=""/>
      <w:lvlJc w:val="left"/>
      <w:pPr>
        <w:ind w:left="6120" w:hanging="360"/>
      </w:pPr>
      <w:rPr>
        <w:rFonts w:ascii="Wingdings" w:hAnsi="Wingdings" w:hint="default"/>
      </w:rPr>
    </w:lvl>
  </w:abstractNum>
  <w:abstractNum w:abstractNumId="9">
    <w:nsid w:val="572B66F7"/>
    <w:multiLevelType w:val="hybridMultilevel"/>
    <w:tmpl w:val="AD9E0D98"/>
    <w:lvl w:ilvl="0" w:tplc="AFAAA382">
      <w:start w:val="1"/>
      <w:numFmt w:val="decimal"/>
      <w:lvlText w:val="%1."/>
      <w:lvlJc w:val="left"/>
      <w:pPr>
        <w:ind w:left="720" w:hanging="360"/>
      </w:pPr>
      <w:rPr>
        <w:rFonts w:hint="default"/>
      </w:rPr>
    </w:lvl>
    <w:lvl w:ilvl="1" w:tplc="347271AE" w:tentative="1">
      <w:start w:val="1"/>
      <w:numFmt w:val="lowerLetter"/>
      <w:lvlText w:val="%2."/>
      <w:lvlJc w:val="left"/>
      <w:pPr>
        <w:ind w:left="1440" w:hanging="360"/>
      </w:pPr>
    </w:lvl>
    <w:lvl w:ilvl="2" w:tplc="866A1930" w:tentative="1">
      <w:start w:val="1"/>
      <w:numFmt w:val="lowerRoman"/>
      <w:lvlText w:val="%3."/>
      <w:lvlJc w:val="right"/>
      <w:pPr>
        <w:ind w:left="2160" w:hanging="180"/>
      </w:pPr>
    </w:lvl>
    <w:lvl w:ilvl="3" w:tplc="9D4CE454" w:tentative="1">
      <w:start w:val="1"/>
      <w:numFmt w:val="decimal"/>
      <w:lvlText w:val="%4."/>
      <w:lvlJc w:val="left"/>
      <w:pPr>
        <w:ind w:left="2880" w:hanging="360"/>
      </w:pPr>
    </w:lvl>
    <w:lvl w:ilvl="4" w:tplc="0D0ABE72" w:tentative="1">
      <w:start w:val="1"/>
      <w:numFmt w:val="lowerLetter"/>
      <w:lvlText w:val="%5."/>
      <w:lvlJc w:val="left"/>
      <w:pPr>
        <w:ind w:left="3600" w:hanging="360"/>
      </w:pPr>
    </w:lvl>
    <w:lvl w:ilvl="5" w:tplc="CAE43A02" w:tentative="1">
      <w:start w:val="1"/>
      <w:numFmt w:val="lowerRoman"/>
      <w:lvlText w:val="%6."/>
      <w:lvlJc w:val="right"/>
      <w:pPr>
        <w:ind w:left="4320" w:hanging="180"/>
      </w:pPr>
    </w:lvl>
    <w:lvl w:ilvl="6" w:tplc="BADE50C2" w:tentative="1">
      <w:start w:val="1"/>
      <w:numFmt w:val="decimal"/>
      <w:lvlText w:val="%7."/>
      <w:lvlJc w:val="left"/>
      <w:pPr>
        <w:ind w:left="5040" w:hanging="360"/>
      </w:pPr>
    </w:lvl>
    <w:lvl w:ilvl="7" w:tplc="8596662C" w:tentative="1">
      <w:start w:val="1"/>
      <w:numFmt w:val="lowerLetter"/>
      <w:lvlText w:val="%8."/>
      <w:lvlJc w:val="left"/>
      <w:pPr>
        <w:ind w:left="5760" w:hanging="360"/>
      </w:pPr>
    </w:lvl>
    <w:lvl w:ilvl="8" w:tplc="2A0C75F8" w:tentative="1">
      <w:start w:val="1"/>
      <w:numFmt w:val="lowerRoman"/>
      <w:lvlText w:val="%9."/>
      <w:lvlJc w:val="right"/>
      <w:pPr>
        <w:ind w:left="6480" w:hanging="180"/>
      </w:pPr>
    </w:lvl>
  </w:abstractNum>
  <w:abstractNum w:abstractNumId="10">
    <w:nsid w:val="580A3DF0"/>
    <w:multiLevelType w:val="multilevel"/>
    <w:tmpl w:val="7CC29F24"/>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171D72"/>
    <w:multiLevelType w:val="hybridMultilevel"/>
    <w:tmpl w:val="AD0E6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8B749E"/>
    <w:multiLevelType w:val="hybridMultilevel"/>
    <w:tmpl w:val="4800AF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3">
    <w:nsid w:val="706D4494"/>
    <w:multiLevelType w:val="multilevel"/>
    <w:tmpl w:val="0C3EEE9E"/>
    <w:lvl w:ilvl="0">
      <w:start w:val="1"/>
      <w:numFmt w:val="decimal"/>
      <w:pStyle w:val="Ttulo1"/>
      <w:lvlText w:val="%1."/>
      <w:lvlJc w:val="left"/>
      <w:pPr>
        <w:tabs>
          <w:tab w:val="num" w:pos="708"/>
        </w:tabs>
        <w:ind w:left="708" w:hanging="708"/>
      </w:pPr>
      <w:rPr>
        <w:rFonts w:ascii="Arial Narrow" w:hAnsi="Arial Narrow" w:cs="Arial Narrow" w:hint="default"/>
        <w:b/>
        <w:bCs/>
        <w:i w:val="0"/>
        <w:iCs w:val="0"/>
        <w:color w:val="FFFFFF"/>
        <w:sz w:val="40"/>
        <w:szCs w:val="40"/>
      </w:rPr>
    </w:lvl>
    <w:lvl w:ilvl="1">
      <w:start w:val="1"/>
      <w:numFmt w:val="decimal"/>
      <w:pStyle w:val="Ttulo2"/>
      <w:lvlText w:val="%1.%2."/>
      <w:lvlJc w:val="left"/>
      <w:pPr>
        <w:tabs>
          <w:tab w:val="num" w:pos="0"/>
        </w:tabs>
        <w:ind w:left="708" w:hanging="708"/>
      </w:pPr>
      <w:rPr>
        <w:rFonts w:cs="Times New Roman" w:hint="default"/>
        <w:i w:val="0"/>
        <w:iCs w:val="0"/>
        <w:color w:val="003366"/>
        <w:sz w:val="36"/>
        <w:szCs w:val="36"/>
      </w:rPr>
    </w:lvl>
    <w:lvl w:ilvl="2">
      <w:start w:val="1"/>
      <w:numFmt w:val="decimal"/>
      <w:pStyle w:val="Ttulo3"/>
      <w:lvlText w:val="%1.%2.%3."/>
      <w:lvlJc w:val="left"/>
      <w:pPr>
        <w:tabs>
          <w:tab w:val="num" w:pos="0"/>
        </w:tabs>
        <w:ind w:left="708" w:hanging="708"/>
      </w:pPr>
      <w:rPr>
        <w:rFonts w:cs="Times New Roman" w:hint="default"/>
      </w:rPr>
    </w:lvl>
    <w:lvl w:ilvl="3">
      <w:start w:val="1"/>
      <w:numFmt w:val="decimal"/>
      <w:lvlText w:val="%1.%2.%3.%4."/>
      <w:lvlJc w:val="left"/>
      <w:pPr>
        <w:tabs>
          <w:tab w:val="num" w:pos="0"/>
        </w:tabs>
        <w:ind w:left="708" w:hanging="70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2"/>
  </w:num>
  <w:num w:numId="9">
    <w:abstractNumId w:val="7"/>
  </w:num>
  <w:num w:numId="10">
    <w:abstractNumId w:val="10"/>
  </w:num>
  <w:num w:numId="11">
    <w:abstractNumId w:val="3"/>
  </w:num>
  <w:num w:numId="12">
    <w:abstractNumId w:val="5"/>
  </w:num>
  <w:num w:numId="13">
    <w:abstractNumId w:val="8"/>
  </w:num>
  <w:num w:numId="14">
    <w:abstractNumId w:val="9"/>
  </w:num>
  <w:num w:numId="15">
    <w:abstractNumId w:val="6"/>
  </w:num>
  <w:num w:numId="16">
    <w:abstractNumId w:val="0"/>
  </w:num>
  <w:num w:numId="17">
    <w:abstractNumId w:val="4"/>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o:shapelayout v:ext="edit">
      <o:idmap v:ext="edit" data="1"/>
      <o:rules v:ext="edit">
        <o:r id="V:Rule1" type="connector" idref="#AutoShape 1026"/>
      </o:rules>
    </o:shapelayout>
  </w:hdrShapeDefaults>
  <w:footnotePr>
    <w:footnote w:id="-1"/>
    <w:footnote w:id="0"/>
  </w:footnotePr>
  <w:endnotePr>
    <w:endnote w:id="-1"/>
    <w:endnote w:id="0"/>
  </w:endnotePr>
  <w:compat/>
  <w:rsids>
    <w:rsidRoot w:val="000B448E"/>
    <w:rsid w:val="00000236"/>
    <w:rsid w:val="000B448E"/>
    <w:rsid w:val="001D7AEC"/>
    <w:rsid w:val="002505F9"/>
    <w:rsid w:val="00280CF8"/>
    <w:rsid w:val="002B2E80"/>
    <w:rsid w:val="00337AE4"/>
    <w:rsid w:val="003B2317"/>
    <w:rsid w:val="003D1E6C"/>
    <w:rsid w:val="005805EA"/>
    <w:rsid w:val="00696848"/>
    <w:rsid w:val="00737573"/>
    <w:rsid w:val="007846FD"/>
    <w:rsid w:val="009270CF"/>
    <w:rsid w:val="00934F0C"/>
    <w:rsid w:val="00A47469"/>
    <w:rsid w:val="00A56681"/>
    <w:rsid w:val="00B3581E"/>
    <w:rsid w:val="00CA4545"/>
    <w:rsid w:val="00F42AA1"/>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E8"/>
    <w:pPr>
      <w:jc w:val="both"/>
    </w:pPr>
    <w:rPr>
      <w:rFonts w:ascii="Century Gothic" w:hAnsi="Century Gothic" w:cs="Arial"/>
      <w:szCs w:val="24"/>
      <w:lang w:val="ca-ES"/>
    </w:rPr>
  </w:style>
  <w:style w:type="paragraph" w:styleId="Ttulo1">
    <w:name w:val="heading 1"/>
    <w:aliases w:val="Absis1"/>
    <w:basedOn w:val="Normal"/>
    <w:next w:val="Normal"/>
    <w:link w:val="Ttulo1Car"/>
    <w:uiPriority w:val="99"/>
    <w:qFormat/>
    <w:rsid w:val="00947C41"/>
    <w:pPr>
      <w:keepNext/>
      <w:pageBreakBefore/>
      <w:numPr>
        <w:numId w:val="7"/>
      </w:numPr>
      <w:shd w:val="clear" w:color="auto" w:fill="003366"/>
      <w:spacing w:before="120" w:after="480"/>
      <w:outlineLvl w:val="0"/>
    </w:pPr>
    <w:rPr>
      <w:rFonts w:ascii="Arial Narrow" w:hAnsi="Arial Narrow" w:cs="Arial Narrow"/>
      <w:b/>
      <w:bCs/>
      <w:color w:val="FFFFFF"/>
      <w:kern w:val="32"/>
      <w:sz w:val="40"/>
      <w:szCs w:val="40"/>
    </w:rPr>
  </w:style>
  <w:style w:type="paragraph" w:styleId="Ttulo2">
    <w:name w:val="heading 2"/>
    <w:basedOn w:val="Normal"/>
    <w:next w:val="Normal"/>
    <w:link w:val="Ttulo2Car"/>
    <w:uiPriority w:val="99"/>
    <w:qFormat/>
    <w:rsid w:val="00947C41"/>
    <w:pPr>
      <w:keepNext/>
      <w:numPr>
        <w:ilvl w:val="1"/>
        <w:numId w:val="7"/>
      </w:numPr>
      <w:pBdr>
        <w:bottom w:val="single" w:sz="18" w:space="1" w:color="003366"/>
      </w:pBdr>
      <w:spacing w:before="240" w:after="480"/>
      <w:outlineLvl w:val="1"/>
    </w:pPr>
    <w:rPr>
      <w:rFonts w:ascii="Arial Narrow" w:hAnsi="Arial Narrow" w:cs="Arial Narrow"/>
      <w:b/>
      <w:bCs/>
      <w:color w:val="003366"/>
      <w:sz w:val="36"/>
      <w:szCs w:val="36"/>
    </w:rPr>
  </w:style>
  <w:style w:type="paragraph" w:styleId="Ttulo3">
    <w:name w:val="heading 3"/>
    <w:basedOn w:val="Normal"/>
    <w:next w:val="Normal"/>
    <w:link w:val="Ttulo3Car"/>
    <w:uiPriority w:val="99"/>
    <w:qFormat/>
    <w:rsid w:val="00947C41"/>
    <w:pPr>
      <w:keepNext/>
      <w:numPr>
        <w:ilvl w:val="2"/>
        <w:numId w:val="7"/>
      </w:numPr>
      <w:spacing w:before="360" w:after="240" w:line="288" w:lineRule="auto"/>
      <w:outlineLvl w:val="2"/>
    </w:pPr>
    <w:rPr>
      <w:rFonts w:ascii="Arial Narrow" w:hAnsi="Arial Narrow" w:cs="Arial Narrow"/>
      <w:b/>
      <w:bCs/>
      <w:caps/>
      <w:color w:val="00336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bsis1 Car"/>
    <w:basedOn w:val="Fuentedeprrafopredeter"/>
    <w:link w:val="Ttulo1"/>
    <w:uiPriority w:val="99"/>
    <w:locked/>
    <w:rsid w:val="00A1635C"/>
    <w:rPr>
      <w:rFonts w:ascii="Cambria" w:hAnsi="Cambria" w:cs="Cambria"/>
      <w:b/>
      <w:bCs/>
      <w:kern w:val="32"/>
      <w:sz w:val="32"/>
      <w:szCs w:val="32"/>
      <w:lang w:val="ca-ES"/>
    </w:rPr>
  </w:style>
  <w:style w:type="character" w:customStyle="1" w:styleId="Ttulo2Car">
    <w:name w:val="Título 2 Car"/>
    <w:basedOn w:val="Fuentedeprrafopredeter"/>
    <w:link w:val="Ttulo2"/>
    <w:uiPriority w:val="99"/>
    <w:semiHidden/>
    <w:locked/>
    <w:rsid w:val="00A1635C"/>
    <w:rPr>
      <w:rFonts w:ascii="Cambria" w:hAnsi="Cambria" w:cs="Cambria"/>
      <w:b/>
      <w:bCs/>
      <w:i/>
      <w:iCs/>
      <w:sz w:val="28"/>
      <w:szCs w:val="28"/>
      <w:lang w:val="ca-ES"/>
    </w:rPr>
  </w:style>
  <w:style w:type="character" w:customStyle="1" w:styleId="Ttulo3Car">
    <w:name w:val="Título 3 Car"/>
    <w:basedOn w:val="Fuentedeprrafopredeter"/>
    <w:link w:val="Ttulo3"/>
    <w:uiPriority w:val="99"/>
    <w:semiHidden/>
    <w:locked/>
    <w:rsid w:val="00A1635C"/>
    <w:rPr>
      <w:rFonts w:ascii="Cambria" w:hAnsi="Cambria" w:cs="Cambria"/>
      <w:b/>
      <w:bCs/>
      <w:sz w:val="26"/>
      <w:szCs w:val="26"/>
      <w:lang w:val="ca-ES"/>
    </w:rPr>
  </w:style>
  <w:style w:type="paragraph" w:customStyle="1" w:styleId="Absis2">
    <w:name w:val="Absis2"/>
    <w:basedOn w:val="Ttulo2"/>
    <w:uiPriority w:val="99"/>
    <w:rsid w:val="00587F4A"/>
    <w:rPr>
      <w:i/>
      <w:iCs/>
    </w:rPr>
  </w:style>
  <w:style w:type="paragraph" w:customStyle="1" w:styleId="Absis1">
    <w:name w:val="Absis 1"/>
    <w:basedOn w:val="Ttulo1"/>
    <w:uiPriority w:val="99"/>
    <w:rsid w:val="00587F4A"/>
  </w:style>
  <w:style w:type="paragraph" w:customStyle="1" w:styleId="Absis3">
    <w:name w:val="Absis3"/>
    <w:basedOn w:val="Ttulo3"/>
    <w:uiPriority w:val="99"/>
    <w:rsid w:val="00947C41"/>
    <w:rPr>
      <w:caps w:val="0"/>
    </w:rPr>
  </w:style>
  <w:style w:type="paragraph" w:styleId="Encabezado">
    <w:name w:val="header"/>
    <w:basedOn w:val="Normal"/>
    <w:link w:val="EncabezadoCar"/>
    <w:uiPriority w:val="99"/>
    <w:rsid w:val="007D2759"/>
    <w:pPr>
      <w:tabs>
        <w:tab w:val="center" w:pos="4252"/>
        <w:tab w:val="right" w:pos="8504"/>
      </w:tabs>
    </w:pPr>
  </w:style>
  <w:style w:type="character" w:customStyle="1" w:styleId="EncabezadoCar">
    <w:name w:val="Encabezado Car"/>
    <w:basedOn w:val="Fuentedeprrafopredeter"/>
    <w:link w:val="Encabezado"/>
    <w:uiPriority w:val="99"/>
    <w:semiHidden/>
    <w:locked/>
    <w:rsid w:val="0058314C"/>
    <w:rPr>
      <w:rFonts w:ascii="Arial" w:hAnsi="Arial" w:cs="Arial"/>
      <w:sz w:val="24"/>
      <w:szCs w:val="24"/>
      <w:lang w:val="ca-ES"/>
    </w:rPr>
  </w:style>
  <w:style w:type="paragraph" w:styleId="Piedepgina">
    <w:name w:val="footer"/>
    <w:basedOn w:val="Normal"/>
    <w:link w:val="PiedepginaCar"/>
    <w:uiPriority w:val="99"/>
    <w:rsid w:val="007D2759"/>
    <w:pPr>
      <w:tabs>
        <w:tab w:val="center" w:pos="4252"/>
        <w:tab w:val="right" w:pos="8504"/>
      </w:tabs>
    </w:pPr>
  </w:style>
  <w:style w:type="character" w:customStyle="1" w:styleId="PiedepginaCar">
    <w:name w:val="Pie de página Car"/>
    <w:basedOn w:val="Fuentedeprrafopredeter"/>
    <w:link w:val="Piedepgina"/>
    <w:uiPriority w:val="99"/>
    <w:semiHidden/>
    <w:locked/>
    <w:rsid w:val="0058314C"/>
    <w:rPr>
      <w:rFonts w:ascii="Arial" w:hAnsi="Arial" w:cs="Arial"/>
      <w:sz w:val="24"/>
      <w:szCs w:val="24"/>
      <w:lang w:val="ca-ES"/>
    </w:rPr>
  </w:style>
  <w:style w:type="paragraph" w:customStyle="1" w:styleId="nassi1">
    <w:name w:val="nassi1"/>
    <w:basedOn w:val="Normal"/>
    <w:uiPriority w:val="99"/>
    <w:rsid w:val="005E09BF"/>
    <w:pPr>
      <w:suppressAutoHyphens/>
    </w:pPr>
    <w:rPr>
      <w:lang w:eastAsia="ar-SA"/>
    </w:rPr>
  </w:style>
  <w:style w:type="table" w:styleId="Tablaconcuadrcula">
    <w:name w:val="Table Grid"/>
    <w:basedOn w:val="Tablanormal"/>
    <w:uiPriority w:val="59"/>
    <w:locked/>
    <w:rsid w:val="0073553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0236"/>
    <w:pPr>
      <w:spacing w:line="276" w:lineRule="auto"/>
      <w:ind w:left="720"/>
      <w:contextualSpacing/>
      <w:jc w:val="left"/>
    </w:pPr>
    <w:rPr>
      <w:rFonts w:ascii="Calibri" w:eastAsia="Calibri" w:hAnsi="Calibri" w:cs="Times New Roman"/>
      <w:szCs w:val="22"/>
      <w:lang w:eastAsia="en-US"/>
    </w:rPr>
  </w:style>
  <w:style w:type="paragraph" w:styleId="HTMLconformatoprevio">
    <w:name w:val="HTML Preformatted"/>
    <w:basedOn w:val="Normal"/>
    <w:link w:val="HTMLconformatoprevioCar"/>
    <w:uiPriority w:val="99"/>
    <w:unhideWhenUsed/>
    <w:rsid w:val="00000236"/>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00236"/>
    <w:rPr>
      <w:rFonts w:ascii="Courier New" w:hAnsi="Courier New" w:cs="Courier New"/>
      <w:sz w:val="20"/>
      <w:szCs w:val="20"/>
      <w:lang w:val="ca-ES"/>
    </w:rPr>
  </w:style>
  <w:style w:type="paragraph" w:styleId="Textodeglobo">
    <w:name w:val="Balloon Text"/>
    <w:basedOn w:val="Normal"/>
    <w:link w:val="TextodegloboCar"/>
    <w:uiPriority w:val="99"/>
    <w:semiHidden/>
    <w:unhideWhenUsed/>
    <w:rsid w:val="001D7A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AEC"/>
    <w:rPr>
      <w:rFonts w:ascii="Segoe UI" w:hAnsi="Segoe UI" w:cs="Segoe UI"/>
      <w:sz w:val="18"/>
      <w:szCs w:val="18"/>
      <w:lang w:val="ca-ES"/>
    </w:rPr>
  </w:style>
</w:styles>
</file>

<file path=word/webSettings.xml><?xml version="1.0" encoding="utf-8"?>
<w:webSettings xmlns:r="http://schemas.openxmlformats.org/officeDocument/2006/relationships" xmlns:w="http://schemas.openxmlformats.org/wordprocessingml/2006/main">
  <w:divs>
    <w:div w:id="439182159">
      <w:bodyDiv w:val="1"/>
      <w:marLeft w:val="0"/>
      <w:marRight w:val="0"/>
      <w:marTop w:val="0"/>
      <w:marBottom w:val="0"/>
      <w:divBdr>
        <w:top w:val="none" w:sz="0" w:space="0" w:color="auto"/>
        <w:left w:val="none" w:sz="0" w:space="0" w:color="auto"/>
        <w:bottom w:val="none" w:sz="0" w:space="0" w:color="auto"/>
        <w:right w:val="none" w:sz="0" w:space="0" w:color="auto"/>
      </w:divBdr>
    </w:div>
    <w:div w:id="446316147">
      <w:bodyDiv w:val="1"/>
      <w:marLeft w:val="0"/>
      <w:marRight w:val="0"/>
      <w:marTop w:val="0"/>
      <w:marBottom w:val="0"/>
      <w:divBdr>
        <w:top w:val="none" w:sz="0" w:space="0" w:color="auto"/>
        <w:left w:val="none" w:sz="0" w:space="0" w:color="auto"/>
        <w:bottom w:val="none" w:sz="0" w:space="0" w:color="auto"/>
        <w:right w:val="none" w:sz="0" w:space="0" w:color="auto"/>
      </w:divBdr>
    </w:div>
    <w:div w:id="536241405">
      <w:bodyDiv w:val="1"/>
      <w:marLeft w:val="0"/>
      <w:marRight w:val="0"/>
      <w:marTop w:val="0"/>
      <w:marBottom w:val="0"/>
      <w:divBdr>
        <w:top w:val="none" w:sz="0" w:space="0" w:color="auto"/>
        <w:left w:val="none" w:sz="0" w:space="0" w:color="auto"/>
        <w:bottom w:val="none" w:sz="0" w:space="0" w:color="auto"/>
        <w:right w:val="none" w:sz="0" w:space="0" w:color="auto"/>
      </w:divBdr>
    </w:div>
    <w:div w:id="18228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PROPOSTA D’ACORD</vt:lpstr>
    </vt:vector>
  </TitlesOfParts>
  <Company>ABS Informática</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D’ACORD</dc:title>
  <dc:creator>EPANE</dc:creator>
  <cp:lastModifiedBy>user</cp:lastModifiedBy>
  <cp:revision>3</cp:revision>
  <cp:lastPrinted>2018-04-19T08:39:00Z</cp:lastPrinted>
  <dcterms:created xsi:type="dcterms:W3CDTF">2019-03-18T17:37:00Z</dcterms:created>
  <dcterms:modified xsi:type="dcterms:W3CDTF">2019-03-21T15:49:00Z</dcterms:modified>
</cp:coreProperties>
</file>